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240" w:lineRule="auto"/>
        <w:contextualSpacing w:val="0"/>
      </w:pPr>
      <w:bookmarkStart w:colFirst="0" w:colLast="0" w:name="h.1xrdshw" w:id="0"/>
      <w:bookmarkEnd w:id="0"/>
      <w:r w:rsidDel="00000000" w:rsidR="00000000" w:rsidRPr="00000000">
        <w:rPr>
          <w:rFonts w:ascii="Calibri" w:cs="Calibri" w:eastAsia="Calibri" w:hAnsi="Calibri"/>
          <w:b w:val="1"/>
          <w:color w:val="4f81bd"/>
          <w:sz w:val="26"/>
          <w:szCs w:val="26"/>
          <w:rtl w:val="0"/>
        </w:rPr>
        <w:t xml:space="preserve">Appendix M – Improve Infant Health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1217"/>
        <w:contextualSpacing w:val="0"/>
      </w:pPr>
      <w:r w:rsidDel="00000000" w:rsidR="00000000" w:rsidRPr="00000000">
        <w:rPr>
          <w:rFonts w:ascii="Calibri" w:cs="Calibri" w:eastAsia="Calibri" w:hAnsi="Calibri"/>
          <w:rtl w:val="0"/>
        </w:rPr>
        <w:t xml:space="preserve">Infant death is a measure of the health and well-being of children and the overall health of a community.  It reflects the status of maternal health, the accessibility and quality of primary health care, and the availability of supportive services in the community.  Infants with low birth weight or preterm delivery have a higher risk of death.  The use of alcohol, tobacco, and illegal substances during pregnancy is a major risk factor for low birth weight, infant mortality, and other poor outcomes.  Infant mortality rates vary substantially among racial and ethnic groups; the rate continues to be higher for African American infants than for white infants.</w:t>
      </w:r>
    </w:p>
    <w:p w:rsidR="00000000" w:rsidDel="00000000" w:rsidP="00000000" w:rsidRDefault="00000000" w:rsidRPr="00000000">
      <w:pPr>
        <w:spacing w:line="240" w:lineRule="auto"/>
        <w:ind w:right="1217"/>
        <w:contextualSpacing w:val="0"/>
      </w:pPr>
      <w:r w:rsidDel="00000000" w:rsidR="00000000" w:rsidRPr="00000000">
        <w:rPr>
          <w:rtl w:val="0"/>
        </w:rPr>
      </w:r>
    </w:p>
    <w:p w:rsidR="00000000" w:rsidDel="00000000" w:rsidP="00000000" w:rsidRDefault="00000000" w:rsidRPr="00000000">
      <w:pPr>
        <w:spacing w:line="240" w:lineRule="auto"/>
        <w:ind w:right="1217"/>
        <w:contextualSpacing w:val="0"/>
      </w:pPr>
      <w:r w:rsidDel="00000000" w:rsidR="00000000" w:rsidRPr="00000000">
        <w:rPr>
          <w:rFonts w:ascii="Calibri" w:cs="Calibri" w:eastAsia="Calibri" w:hAnsi="Calibri"/>
          <w:rtl w:val="0"/>
        </w:rPr>
        <w:t xml:space="preserve">During the past 10 years, Mississippi’s infant mortality rate has fluctuated, with a decline below 9.0 per 1,000 for the first time in 2012. Mississippi has had a consistently higher infant mortality rate than the United States for the past decade.</w:t>
      </w:r>
    </w:p>
    <w:p w:rsidR="00000000" w:rsidDel="00000000" w:rsidP="00000000" w:rsidRDefault="00000000" w:rsidRPr="00000000">
      <w:pPr>
        <w:spacing w:line="240" w:lineRule="auto"/>
        <w:ind w:right="1217"/>
        <w:contextualSpacing w:val="0"/>
      </w:pPr>
      <w:r w:rsidDel="00000000" w:rsidR="00000000" w:rsidRPr="00000000">
        <w:rPr>
          <w:rtl w:val="0"/>
        </w:rPr>
      </w:r>
    </w:p>
    <w:p w:rsidR="00000000" w:rsidDel="00000000" w:rsidP="00000000" w:rsidRDefault="00000000" w:rsidRPr="00000000">
      <w:pPr>
        <w:spacing w:line="240" w:lineRule="auto"/>
        <w:ind w:right="1217"/>
        <w:contextualSpacing w:val="0"/>
      </w:pPr>
      <w:r w:rsidDel="00000000" w:rsidR="00000000" w:rsidRPr="00000000">
        <w:rPr>
          <w:rFonts w:ascii="Calibri" w:cs="Calibri" w:eastAsia="Calibri" w:hAnsi="Calibri"/>
          <w:rtl w:val="0"/>
        </w:rPr>
        <w:t xml:space="preserve">Breast milk contains antibodies that can help protect infants from a variety of illnesses.  Among breastfed babies, conditions such as ear infections, obesity, asthma, and diarrhea are less common.  Mothers who have breastfed have a lower risk of developing breast and ovarian cancer, type 2 diabetes, and postpartum depression.  The American Academy of Pediatrics (AAP) recommends that infants are breastfed for at least 12 months. If 90 percent of mothers breastfed exclusively for six months, over 900 deaths among infants could be prevented yearly.</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80.0" w:type="dxa"/>
        <w:jc w:val="left"/>
        <w:tblInd w:w="-802.0" w:type="dxa"/>
        <w:tblLayout w:type="fixed"/>
        <w:tblLook w:val="0000"/>
      </w:tblPr>
      <w:tblGrid>
        <w:gridCol w:w="1080"/>
        <w:gridCol w:w="0"/>
        <w:gridCol w:w="1080"/>
        <w:gridCol w:w="20"/>
        <w:gridCol w:w="1200"/>
        <w:gridCol w:w="20"/>
        <w:gridCol w:w="840"/>
        <w:gridCol w:w="20"/>
        <w:gridCol w:w="20"/>
        <w:gridCol w:w="860"/>
        <w:gridCol w:w="2200"/>
        <w:gridCol w:w="40"/>
        <w:gridCol w:w="1300"/>
        <w:gridCol w:w="0"/>
        <w:gridCol w:w="700"/>
        <w:tblGridChange w:id="0">
          <w:tblGrid>
            <w:gridCol w:w="1080"/>
            <w:gridCol w:w="0"/>
            <w:gridCol w:w="1080"/>
            <w:gridCol w:w="20"/>
            <w:gridCol w:w="1200"/>
            <w:gridCol w:w="20"/>
            <w:gridCol w:w="840"/>
            <w:gridCol w:w="20"/>
            <w:gridCol w:w="20"/>
            <w:gridCol w:w="860"/>
            <w:gridCol w:w="2200"/>
            <w:gridCol w:w="40"/>
            <w:gridCol w:w="1300"/>
            <w:gridCol w:w="0"/>
            <w:gridCol w:w="700"/>
          </w:tblGrid>
        </w:tblGridChange>
      </w:tblGrid>
      <w:tr>
        <w:trPr>
          <w:trHeight w:val="600" w:hRule="atLeast"/>
        </w:trPr>
        <w:tc>
          <w:tcPr>
            <w:gridSpan w:val="15"/>
            <w:tcBorders>
              <w:top w:color="000000" w:space="0" w:sz="6" w:val="single"/>
              <w:left w:color="000000" w:space="0" w:sz="6" w:val="single"/>
              <w:bottom w:color="000000" w:space="0" w:sz="6" w:val="single"/>
              <w:right w:color="000000" w:space="0" w:sz="6" w:val="single"/>
            </w:tcBorders>
            <w:shd w:fill="003365"/>
          </w:tcPr>
          <w:p w:rsidR="00000000" w:rsidDel="00000000" w:rsidP="00000000" w:rsidRDefault="00000000" w:rsidRPr="00000000">
            <w:pPr>
              <w:tabs>
                <w:tab w:val="left" w:pos="4680"/>
              </w:tabs>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APPENDIX M :   Mississippi State Community Scorecard – 2016</w:t>
            </w:r>
          </w:p>
          <w:p w:rsidR="00000000" w:rsidDel="00000000" w:rsidP="00000000" w:rsidRDefault="00000000" w:rsidRPr="00000000">
            <w:pPr>
              <w:tabs>
                <w:tab w:val="left" w:pos="5220"/>
              </w:tabs>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PRIORITY AREA #2:  Improve Infant Health</w:t>
            </w:r>
            <w:r w:rsidDel="00000000" w:rsidR="00000000" w:rsidRPr="00000000">
              <w:rPr>
                <w:rtl w:val="0"/>
              </w:rPr>
            </w:r>
          </w:p>
        </w:tc>
      </w:tr>
      <w:tr>
        <w:trPr>
          <w:trHeight w:val="900" w:hRule="atLeast"/>
        </w:trPr>
        <w:tc>
          <w:tcPr>
            <w:gridSpan w:val="2"/>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gridSpan w:val="3"/>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gridSpan w:val="3"/>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 </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TATUS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3260" w:hRule="atLeast"/>
        </w:trPr>
        <w:tc>
          <w:tcPr>
            <w:gridSpan w:val="2"/>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2.0   </w:t>
            </w:r>
          </w:p>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Improve the care of infants in Mississippi</w:t>
            </w:r>
          </w:p>
          <w:p w:rsidR="00000000" w:rsidDel="00000000" w:rsidP="00000000" w:rsidRDefault="00000000" w:rsidRPr="00000000">
            <w:pPr>
              <w:spacing w:before="6" w:line="240" w:lineRule="auto"/>
              <w:contextualSpacing w:val="0"/>
            </w:pP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Fonts w:ascii="Calibri" w:cs="Calibri" w:eastAsia="Calibri" w:hAnsi="Calibri"/>
                <w:color w:val="000080"/>
                <w:sz w:val="19"/>
                <w:szCs w:val="19"/>
                <w:rtl w:val="0"/>
              </w:rPr>
              <w:t xml:space="preserve">2.0</w:t>
            </w:r>
          </w:p>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000080"/>
                <w:sz w:val="19"/>
                <w:szCs w:val="19"/>
                <w:rtl w:val="0"/>
              </w:rPr>
              <w:t xml:space="preserve">Increase the number of mothers who are breastfeeding </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numPr>
                <w:ilvl w:val="0"/>
                <w:numId w:val="2"/>
              </w:numPr>
              <w:spacing w:before="50" w:line="240" w:lineRule="auto"/>
              <w:ind w:left="355" w:right="43"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infants who were ever breastfed</w:t>
            </w:r>
          </w:p>
          <w:p w:rsidR="00000000" w:rsidDel="00000000" w:rsidP="00000000" w:rsidRDefault="00000000" w:rsidRPr="00000000">
            <w:pPr>
              <w:spacing w:before="50" w:line="240" w:lineRule="auto"/>
              <w:ind w:left="338" w:right="43" w:hanging="256"/>
              <w:contextualSpacing w:val="0"/>
            </w:pPr>
            <w:r w:rsidDel="00000000" w:rsidR="00000000" w:rsidRPr="00000000">
              <w:rPr>
                <w:rFonts w:ascii="Calibri" w:cs="Calibri" w:eastAsia="Calibri" w:hAnsi="Calibri"/>
                <w:color w:val="000080"/>
                <w:sz w:val="19"/>
                <w:szCs w:val="19"/>
                <w:rtl w:val="0"/>
              </w:rPr>
              <w:t xml:space="preserve">Data Source:</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color w:val="000080"/>
                <w:sz w:val="19"/>
                <w:szCs w:val="19"/>
                <w:rtl w:val="0"/>
              </w:rPr>
              <w:t xml:space="preserve">CDC Breastfeeding Report Card 2013</w:t>
            </w:r>
            <w:r w:rsidDel="00000000" w:rsidR="00000000" w:rsidRPr="00000000">
              <w:rPr>
                <w:rtl w:val="0"/>
              </w:rPr>
            </w:r>
          </w:p>
          <w:p w:rsidR="00000000" w:rsidDel="00000000" w:rsidP="00000000" w:rsidRDefault="00000000" w:rsidRPr="00000000">
            <w:pPr>
              <w:spacing w:before="50" w:line="240" w:lineRule="auto"/>
              <w:ind w:left="338" w:right="43"/>
              <w:contextualSpacing w:val="0"/>
            </w:pPr>
            <w:r w:rsidDel="00000000" w:rsidR="00000000" w:rsidRPr="00000000">
              <w:rPr>
                <w:rtl w:val="0"/>
              </w:rPr>
            </w:r>
          </w:p>
          <w:p w:rsidR="00000000" w:rsidDel="00000000" w:rsidP="00000000" w:rsidRDefault="00000000" w:rsidRPr="00000000">
            <w:pPr>
              <w:spacing w:before="6" w:line="240" w:lineRule="auto"/>
              <w:contextualSpacing w:val="0"/>
            </w:pPr>
            <w:r w:rsidDel="00000000" w:rsidR="00000000" w:rsidRPr="00000000">
              <w:rPr>
                <w:rtl w:val="0"/>
              </w:rPr>
            </w:r>
          </w:p>
        </w:tc>
        <w:tc>
          <w:tcPr>
            <w:gridSpan w:val="3"/>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 50.5%</w:t>
            </w:r>
            <w:r w:rsidDel="00000000" w:rsidR="00000000" w:rsidRPr="00000000">
              <w:rPr>
                <w:rFonts w:ascii="Calibri" w:cs="Calibri" w:eastAsia="Calibri" w:hAnsi="Calibri"/>
                <w:color w:val="ff0000"/>
                <w:sz w:val="19"/>
                <w:szCs w:val="19"/>
                <w:rtl w:val="0"/>
              </w:rPr>
              <w:t xml:space="preserve"> </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2018 Births:</w:t>
            </w: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60.5%</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before="9" w:line="240" w:lineRule="auto"/>
              <w:contextualSpacing w:val="0"/>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pPr>
              <w:widowControl w:val="0"/>
              <w:numPr>
                <w:ilvl w:val="0"/>
                <w:numId w:val="7"/>
              </w:numPr>
              <w:spacing w:before="11" w:line="240" w:lineRule="auto"/>
              <w:ind w:left="270"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Increase public awareness of Baby Friendly, and what that means by January 2018</w:t>
            </w:r>
            <w:r w:rsidDel="00000000" w:rsidR="00000000" w:rsidRPr="00000000">
              <w:rPr>
                <w:rtl w:val="0"/>
              </w:rPr>
            </w:r>
          </w:p>
          <w:p w:rsidR="00000000" w:rsidDel="00000000" w:rsidP="00000000" w:rsidRDefault="00000000" w:rsidRPr="00000000">
            <w:pPr>
              <w:widowControl w:val="0"/>
              <w:numPr>
                <w:ilvl w:val="0"/>
                <w:numId w:val="7"/>
              </w:numPr>
              <w:spacing w:line="240" w:lineRule="auto"/>
              <w:ind w:left="270"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Provide incentives to hospitals as they make efforts towards Baby Friendly by September 2016</w:t>
            </w:r>
            <w:r w:rsidDel="00000000" w:rsidR="00000000" w:rsidRPr="00000000">
              <w:rPr>
                <w:rtl w:val="0"/>
              </w:rPr>
            </w:r>
          </w:p>
        </w:tc>
        <w:tc>
          <w:tcPr>
            <w:gridSpan w:val="3"/>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widowControl w:val="0"/>
              <w:numPr>
                <w:ilvl w:val="0"/>
                <w:numId w:val="1"/>
              </w:numPr>
              <w:spacing w:before="11" w:line="240" w:lineRule="auto"/>
              <w:ind w:left="219" w:right="-20" w:hanging="172"/>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Blue Cross/Blue Shield, Dr. Sara Broom, Sara Hedley</w:t>
            </w:r>
          </w:p>
          <w:p w:rsidR="00000000" w:rsidDel="00000000" w:rsidP="00000000" w:rsidRDefault="00000000" w:rsidRPr="00000000">
            <w:pPr>
              <w:widowControl w:val="0"/>
              <w:numPr>
                <w:ilvl w:val="0"/>
                <w:numId w:val="1"/>
              </w:numPr>
              <w:spacing w:line="240" w:lineRule="auto"/>
              <w:ind w:left="219" w:right="-20" w:hanging="180"/>
              <w:contextualSpacing w:val="1"/>
              <w:rPr>
                <w:rFonts w:ascii="Calibri" w:cs="Calibri" w:eastAsia="Calibri" w:hAnsi="Calibri"/>
                <w:sz w:val="18"/>
                <w:szCs w:val="18"/>
              </w:rPr>
            </w:pPr>
            <w:r w:rsidDel="00000000" w:rsidR="00000000" w:rsidRPr="00000000">
              <w:rPr>
                <w:rFonts w:ascii="Calibri" w:cs="Calibri" w:eastAsia="Calibri" w:hAnsi="Calibri"/>
                <w:color w:val="000080"/>
                <w:sz w:val="19"/>
                <w:szCs w:val="19"/>
                <w:rtl w:val="0"/>
              </w:rPr>
              <w:t xml:space="preserve">Lydia West, MSPHI</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widowControl w:val="0"/>
              <w:numPr>
                <w:ilvl w:val="0"/>
                <w:numId w:val="4"/>
              </w:numPr>
              <w:spacing w:before="11" w:line="240" w:lineRule="auto"/>
              <w:ind w:left="219" w:right="-20" w:hanging="172"/>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Yellow</w:t>
            </w:r>
          </w:p>
        </w:tc>
      </w:tr>
      <w:tr>
        <w:trPr>
          <w:trHeight w:val="600" w:hRule="atLeast"/>
        </w:trPr>
        <w:tc>
          <w:tcPr>
            <w:gridSpan w:val="15"/>
            <w:tcBorders>
              <w:top w:color="000000" w:space="0" w:sz="6" w:val="single"/>
              <w:left w:color="000000" w:space="0" w:sz="6" w:val="single"/>
              <w:bottom w:color="000000" w:space="0" w:sz="6" w:val="single"/>
              <w:right w:color="000000" w:space="0" w:sz="6" w:val="single"/>
            </w:tcBorders>
            <w:shd w:fill="003365"/>
          </w:tcPr>
          <w:p w:rsidR="00000000" w:rsidDel="00000000" w:rsidP="00000000" w:rsidRDefault="00000000" w:rsidRPr="00000000">
            <w:pPr>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APPENDIX M :   Mississippi State Community Scorecard – 2016</w:t>
            </w:r>
          </w:p>
          <w:p w:rsidR="00000000" w:rsidDel="00000000" w:rsidP="00000000" w:rsidRDefault="00000000" w:rsidRPr="00000000">
            <w:pPr>
              <w:tabs>
                <w:tab w:val="left" w:pos="5252"/>
              </w:tabs>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PRIORITY AREA #2:  Improve Infant Health</w:t>
            </w:r>
            <w:r w:rsidDel="00000000" w:rsidR="00000000" w:rsidRPr="00000000">
              <w:rPr>
                <w:rtl w:val="0"/>
              </w:rPr>
            </w:r>
          </w:p>
        </w:tc>
      </w:tr>
      <w:tr>
        <w:trPr>
          <w:trHeight w:val="900" w:hRule="atLeast"/>
        </w:trPr>
        <w:tc>
          <w:tcPr>
            <w:gridSpan w:val="2"/>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gridSpan w:val="3"/>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shd w:fill="003365"/>
            <w:vAlign w:val="bottom"/>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br w:type="textWrapping"/>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TATUS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77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7" w:line="240" w:lineRule="auto"/>
              <w:ind w:left="75" w:right="-20" w:firstLine="0"/>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6"/>
              </w:numPr>
              <w:spacing w:before="50" w:line="240" w:lineRule="auto"/>
              <w:ind w:left="308" w:right="43" w:hanging="180"/>
              <w:contextualSpacing w:val="1"/>
              <w:rPr>
                <w:sz w:val="19"/>
                <w:szCs w:val="19"/>
              </w:rPr>
            </w:pPr>
            <w:r w:rsidDel="00000000" w:rsidR="00000000" w:rsidRPr="00000000">
              <w:rPr>
                <w:rFonts w:ascii="Calibri" w:cs="Calibri" w:eastAsia="Calibri" w:hAnsi="Calibri"/>
                <w:color w:val="000080"/>
                <w:sz w:val="19"/>
                <w:szCs w:val="19"/>
                <w:rtl w:val="0"/>
              </w:rPr>
              <w:t xml:space="preserve">Percentage of infants breastfed at 6 months</w:t>
            </w:r>
            <w:r w:rsidDel="00000000" w:rsidR="00000000" w:rsidRPr="00000000">
              <w:rPr>
                <w:rtl w:val="0"/>
              </w:rPr>
            </w:r>
          </w:p>
          <w:p w:rsidR="00000000" w:rsidDel="00000000" w:rsidP="00000000" w:rsidRDefault="00000000" w:rsidRPr="00000000">
            <w:pPr>
              <w:widowControl w:val="0"/>
              <w:spacing w:before="50" w:line="240" w:lineRule="auto"/>
              <w:ind w:left="128" w:right="43" w:firstLine="0"/>
              <w:contextualSpacing w:val="0"/>
            </w:pPr>
            <w:r w:rsidDel="00000000" w:rsidR="00000000" w:rsidRPr="00000000">
              <w:rPr>
                <w:rtl w:val="0"/>
              </w:rPr>
            </w:r>
          </w:p>
          <w:p w:rsidR="00000000" w:rsidDel="00000000" w:rsidP="00000000" w:rsidRDefault="00000000" w:rsidRPr="00000000">
            <w:pPr>
              <w:spacing w:before="6" w:line="240" w:lineRule="auto"/>
              <w:ind w:left="85" w:right="122" w:firstLine="0"/>
              <w:contextualSpacing w:val="0"/>
            </w:pPr>
            <w:r w:rsidDel="00000000" w:rsidR="00000000" w:rsidRPr="00000000">
              <w:rPr>
                <w:rFonts w:ascii="Calibri" w:cs="Calibri" w:eastAsia="Calibri" w:hAnsi="Calibri"/>
                <w:color w:val="000080"/>
                <w:sz w:val="19"/>
                <w:szCs w:val="19"/>
                <w:rtl w:val="0"/>
              </w:rPr>
              <w:t xml:space="preserve">Data Source:</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color w:val="000080"/>
                <w:sz w:val="19"/>
                <w:szCs w:val="19"/>
                <w:rtl w:val="0"/>
              </w:rPr>
              <w:t xml:space="preserve">CDC Breastfeeding Report Card 2013</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000080"/>
                <w:sz w:val="19"/>
                <w:szCs w:val="19"/>
                <w:rtl w:val="0"/>
              </w:rPr>
              <w:t xml:space="preserve">19.7%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2018 Births:</w:t>
            </w:r>
            <w:r w:rsidDel="00000000" w:rsidR="00000000" w:rsidRPr="00000000">
              <w:rPr>
                <w:rtl w:val="0"/>
              </w:rPr>
            </w:r>
          </w:p>
          <w:p w:rsidR="00000000" w:rsidDel="00000000" w:rsidP="00000000" w:rsidRDefault="00000000" w:rsidRPr="00000000">
            <w:pPr>
              <w:spacing w:before="9" w:line="240" w:lineRule="auto"/>
              <w:ind w:left="68" w:firstLine="0"/>
              <w:contextualSpacing w:val="0"/>
            </w:pPr>
            <w:r w:rsidDel="00000000" w:rsidR="00000000" w:rsidRPr="00000000">
              <w:rPr>
                <w:rFonts w:ascii="Calibri" w:cs="Calibri" w:eastAsia="Calibri" w:hAnsi="Calibri"/>
                <w:color w:val="000080"/>
                <w:sz w:val="19"/>
                <w:szCs w:val="19"/>
                <w:rtl w:val="0"/>
              </w:rPr>
              <w:t xml:space="preserve">29.7%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3"/>
              </w:numPr>
              <w:spacing w:before="11" w:line="240" w:lineRule="auto"/>
              <w:ind w:left="259" w:right="84"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Determine WIC breast feeding number per county by February 2016</w:t>
            </w:r>
            <w:r w:rsidDel="00000000" w:rsidR="00000000" w:rsidRPr="00000000">
              <w:rPr>
                <w:rtl w:val="0"/>
              </w:rPr>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Identify applicable evidence-based tools and trainings for use in Mississippi by September 2016</w:t>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Determine necessary community partners by September 2016</w:t>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Determine who will provide education by September 2016</w:t>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Determine cost and find necessary funding by September 2016</w:t>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Increase community awareness on benefits of breast feeding by August 2016</w:t>
            </w:r>
            <w:r w:rsidDel="00000000" w:rsidR="00000000" w:rsidRPr="00000000">
              <w:rPr>
                <w:rtl w:val="0"/>
              </w:rPr>
            </w:r>
          </w:p>
          <w:p w:rsidR="00000000" w:rsidDel="00000000" w:rsidP="00000000" w:rsidRDefault="00000000" w:rsidRPr="00000000">
            <w:pPr>
              <w:widowControl w:val="0"/>
              <w:numPr>
                <w:ilvl w:val="0"/>
                <w:numId w:val="3"/>
              </w:numPr>
              <w:tabs>
                <w:tab w:val="left" w:pos="440"/>
              </w:tabs>
              <w:spacing w:line="240" w:lineRule="auto"/>
              <w:ind w:left="259" w:right="84"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Follow-up with breastfeeding awareness month in August by August 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spacing w:line="240" w:lineRule="auto"/>
              <w:ind w:left="359" w:hanging="180"/>
              <w:contextualSpacing w:val="1"/>
              <w:rPr>
                <w:rFonts w:ascii="Cambria" w:cs="Cambria" w:eastAsia="Cambria" w:hAnsi="Cambria"/>
              </w:rPr>
            </w:pPr>
            <w:r w:rsidDel="00000000" w:rsidR="00000000" w:rsidRPr="00000000">
              <w:rPr>
                <w:rFonts w:ascii="Calibri" w:cs="Calibri" w:eastAsia="Calibri" w:hAnsi="Calibri"/>
                <w:color w:val="000080"/>
                <w:sz w:val="16"/>
                <w:szCs w:val="16"/>
                <w:rtl w:val="0"/>
              </w:rPr>
              <w:t xml:space="preserve">WIC, Jameshyia Thompson</w:t>
            </w:r>
            <w:r w:rsidDel="00000000" w:rsidR="00000000" w:rsidRPr="00000000">
              <w:rPr>
                <w:rtl w:val="0"/>
              </w:rPr>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numPr>
                <w:ilvl w:val="0"/>
                <w:numId w:val="5"/>
              </w:numPr>
              <w:spacing w:line="240" w:lineRule="auto"/>
              <w:ind w:left="359" w:hanging="180"/>
              <w:contextualSpacing w:val="1"/>
              <w:rPr>
                <w:rFonts w:ascii="Calibri" w:cs="Calibri" w:eastAsia="Calibri" w:hAnsi="Calibri"/>
              </w:rPr>
            </w:pPr>
            <w:r w:rsidDel="00000000" w:rsidR="00000000" w:rsidRPr="00000000">
              <w:rPr>
                <w:rFonts w:ascii="Calibri" w:cs="Calibri" w:eastAsia="Calibri" w:hAnsi="Calibri"/>
                <w:color w:val="000080"/>
                <w:sz w:val="16"/>
                <w:szCs w:val="16"/>
                <w:rtl w:val="0"/>
              </w:rPr>
              <w:t xml:space="preserve">Office of Preventive Health, Tiffany Grant; MSPHI, Lydia West; WIC, Jameshyia Thompson</w:t>
            </w:r>
          </w:p>
          <w:p w:rsidR="00000000" w:rsidDel="00000000" w:rsidP="00000000" w:rsidRDefault="00000000" w:rsidRPr="00000000">
            <w:pPr>
              <w:spacing w:line="240" w:lineRule="auto"/>
              <w:ind w:left="179" w:firstLine="0"/>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numPr>
                <w:ilvl w:val="0"/>
                <w:numId w:val="4"/>
              </w:numPr>
              <w:spacing w:before="11"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p w:rsidR="00000000" w:rsidDel="00000000" w:rsidP="00000000" w:rsidRDefault="00000000" w:rsidRPr="00000000">
            <w:pPr>
              <w:widowControl w:val="0"/>
              <w:numPr>
                <w:ilvl w:val="0"/>
                <w:numId w:val="4"/>
              </w:numPr>
              <w:spacing w:line="240" w:lineRule="auto"/>
              <w:ind w:left="219" w:right="-20" w:hanging="172"/>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Green</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81"/>
          <w:rtl w:val="0"/>
        </w:rPr>
        <w:t xml:space="preserve">Status will be reviewed using a stoplight approach as follows: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-88899</wp:posOffset>
                </wp:positionH>
                <wp:positionV relativeFrom="paragraph">
                  <wp:posOffset>127000</wp:posOffset>
                </wp:positionV>
                <wp:extent cx="4457700" cy="939800"/>
                <wp:effectExtent b="0" l="0" r="0" t="0"/>
                <wp:wrapNone/>
                <wp:docPr id="1" name=""/>
                <a:graphic>
                  <a:graphicData uri="http://schemas.microsoft.com/office/word/2010/wordprocessingGroup">
                    <wpg:wgp>
                      <wpg:cNvGrpSpPr/>
                      <wpg:grpSpPr>
                        <a:xfrm>
                          <a:off x="3116198" y="3310100"/>
                          <a:ext cx="4457700" cy="939800"/>
                          <a:chOff x="3116198" y="3310100"/>
                          <a:chExt cx="4459605" cy="939799"/>
                        </a:xfrm>
                      </wpg:grpSpPr>
                      <wpg:grpSp>
                        <wpg:cNvGrpSpPr/>
                        <wpg:grpSpPr>
                          <a:xfrm>
                            <a:off x="3116198" y="3310100"/>
                            <a:ext cx="4459605" cy="939799"/>
                            <a:chOff x="0" y="0"/>
                            <a:chExt cx="4459856" cy="940278"/>
                          </a:xfrm>
                        </wpg:grpSpPr>
                        <wps:wsp>
                          <wps:cNvSpPr/>
                          <wps:cNvPr id="3" name="Shape 3"/>
                          <wps:spPr>
                            <a:xfrm>
                              <a:off x="0" y="0"/>
                              <a:ext cx="4459850" cy="94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0" y="0"/>
                              <a:ext cx="586595" cy="9316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3873260" y="8626"/>
                              <a:ext cx="586595" cy="9316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845387" y="138022"/>
                              <a:ext cx="2907102" cy="767751"/>
                            </a:xfrm>
                            <a:prstGeom prst="rect">
                              <a:avLst/>
                            </a:prstGeom>
                            <a:noFill/>
                            <a:ln cap="flat" cmpd="thickThin" w="762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highlight w:val="red"/>
                                    <w:vertAlign w:val="baseline"/>
                                  </w:rPr>
                                  <w:t xml:space="preserve">RED:</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c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Not on target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yellow"/>
                                    <w:vertAlign w:val="baseline"/>
                                  </w:rPr>
                                  <w:t xml:space="preserve">YELLOW:</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ffc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Falling behind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green"/>
                                    <w:vertAlign w:val="baseline"/>
                                  </w:rPr>
                                  <w:t xml:space="preserve">GREEN:</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984806"/>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On Target</w:t>
                                </w:r>
                              </w:p>
                              <w:p w:rsidR="00000000" w:rsidDel="00000000" w:rsidP="00000000" w:rsidRDefault="00000000" w:rsidRPr="00000000">
                                <w:pPr>
                                  <w:spacing w:after="0" w:before="0" w:line="360"/>
                                  <w:ind w:left="0" w:right="0" w:firstLine="0"/>
                                  <w:jc w:val="center"/>
                                  <w:textDirection w:val="lr"/>
                                </w:pPr>
                                <w:r w:rsidDel="00000000" w:rsidR="00000000" w:rsidRPr="00000000">
                                  <w:rPr>
                                    <w:rFonts w:ascii="Cambria" w:cs="Cambria" w:eastAsia="Cambria" w:hAnsi="Cambria"/>
                                    <w:b w:val="1"/>
                                    <w:i w:val="0"/>
                                    <w:smallCaps w:val="0"/>
                                    <w:strike w:val="0"/>
                                    <w:color w:val="000000"/>
                                    <w:sz w:val="18"/>
                                    <w:vertAlign w:val="baseline"/>
                                  </w:rPr>
                                </w:r>
                              </w:p>
                            </w:txbxContent>
                          </wps:txbx>
                          <wps:bodyPr anchorCtr="0" anchor="ctr" bIns="91425" lIns="137150" rIns="137150"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-88899</wp:posOffset>
                </wp:positionH>
                <wp:positionV relativeFrom="paragraph">
                  <wp:posOffset>127000</wp:posOffset>
                </wp:positionV>
                <wp:extent cx="4457700" cy="9398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457700" cy="939800"/>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COORDINATING CO-CHAIRS:</w:t>
      </w:r>
      <w:r w:rsidDel="00000000" w:rsidR="00000000" w:rsidRPr="00000000">
        <w:rPr>
          <w:rFonts w:ascii="Calibri" w:cs="Calibri" w:eastAsia="Calibri" w:hAnsi="Calibri"/>
          <w:color w:val="00206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KATHY BURK, MSDH; DR. LEIGH CAMPBELL, MSDH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PARTNERS AND STAKEHOLDERS:</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u w:val="single"/>
          <w:rtl w:val="0"/>
        </w:rPr>
        <w:t xml:space="preserve">Non-MSDH: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Linda Rigsby, MS Center for Justice</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Desta Reff, MSU SSRC</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Dina Ray, March of Dimes </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David Buys, MSU Extension Service</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Becky Abney, MEMA</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Suzanne Lewis, MEMA</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Lydia West, MSPHI</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Dr. Sarah Broom, BCBSMS </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Dr. Sid Bondurant, Governor's Office</w:t>
      </w:r>
    </w:p>
    <w:p w:rsidR="00000000" w:rsidDel="00000000" w:rsidP="00000000" w:rsidRDefault="00000000" w:rsidRPr="00000000">
      <w:pPr>
        <w:spacing w:line="240" w:lineRule="auto"/>
        <w:ind w:right="720"/>
        <w:contextualSpacing w:val="0"/>
      </w:pPr>
      <w:r w:rsidDel="00000000" w:rsidR="00000000" w:rsidRPr="00000000">
        <w:rPr>
          <w:rtl w:val="0"/>
        </w:rPr>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u w:val="single"/>
          <w:rtl w:val="0"/>
        </w:rPr>
        <w:t xml:space="preserve">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Dr. Alfio Rausa,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Danielle Seale,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Kathy Farrington,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Laura Tucker,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Marilyn Johnson,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Jameshyia Thompson, MSDH</w:t>
      </w:r>
    </w:p>
    <w:p w:rsidR="00000000" w:rsidDel="00000000" w:rsidP="00000000" w:rsidRDefault="00000000" w:rsidRPr="00000000">
      <w:pPr>
        <w:spacing w:line="240" w:lineRule="auto"/>
        <w:ind w:right="720"/>
        <w:contextualSpacing w:val="0"/>
      </w:pPr>
      <w:r w:rsidDel="00000000" w:rsidR="00000000" w:rsidRPr="00000000">
        <w:rPr>
          <w:rFonts w:ascii="Calibri" w:cs="Calibri" w:eastAsia="Calibri" w:hAnsi="Calibri"/>
          <w:rtl w:val="0"/>
        </w:rPr>
        <w:t xml:space="preserve">Dr. Charlene Collier, MSDH/UMMC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after="0" w:before="2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color w:val="00008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3"/>
      <w:numFmt w:val="lowerLetter"/>
      <w:lvlText w:val="%1."/>
      <w:lvlJc w:val="left"/>
      <w:pPr>
        <w:ind w:left="770" w:firstLine="41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color w:val="00008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3"/>
      <w:numFmt w:val="lowerLetter"/>
      <w:lvlText w:val="%1."/>
      <w:lvlJc w:val="left"/>
      <w:pPr>
        <w:ind w:left="770" w:firstLine="410"/>
      </w:pPr>
      <w:rPr>
        <w:color w:val="000080"/>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lowerLetter"/>
      <w:lvlText w:val="%1."/>
      <w:lvlJc w:val="left"/>
      <w:pPr>
        <w:ind w:left="720" w:firstLine="360"/>
      </w:pPr>
      <w:rPr>
        <w:color w:val="00008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