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200" w:line="240" w:lineRule="auto"/>
        <w:contextualSpacing w:val="0"/>
      </w:pPr>
      <w:bookmarkStart w:colFirst="0" w:colLast="0" w:name="h.2wwbldi" w:id="0"/>
      <w:bookmarkEnd w:id="0"/>
      <w:r w:rsidDel="00000000" w:rsidR="00000000" w:rsidRPr="00000000">
        <w:rPr>
          <w:rFonts w:ascii="Calibri" w:cs="Calibri" w:eastAsia="Calibri" w:hAnsi="Calibri"/>
          <w:b w:val="1"/>
          <w:color w:val="4f81bd"/>
          <w:sz w:val="26"/>
          <w:szCs w:val="26"/>
          <w:rtl w:val="0"/>
        </w:rPr>
        <w:t xml:space="preserve">Appendix O – Create a Culture of Health</w:t>
      </w:r>
    </w:p>
    <w:p w:rsidR="00000000" w:rsidDel="00000000" w:rsidP="00000000" w:rsidRDefault="00000000" w:rsidRPr="00000000">
      <w:pPr>
        <w:spacing w:before="86" w:line="240" w:lineRule="auto"/>
        <w:contextualSpacing w:val="0"/>
      </w:pPr>
      <w:r w:rsidDel="00000000" w:rsidR="00000000" w:rsidRPr="00000000">
        <w:rPr>
          <w:rtl w:val="0"/>
        </w:rPr>
      </w:r>
    </w:p>
    <w:p w:rsidR="00000000" w:rsidDel="00000000" w:rsidP="00000000" w:rsidRDefault="00000000" w:rsidRPr="00000000">
      <w:pPr>
        <w:tabs>
          <w:tab w:val="left" w:pos="12240"/>
        </w:tabs>
        <w:spacing w:line="240" w:lineRule="auto"/>
        <w:ind w:right="1350"/>
        <w:contextualSpacing w:val="0"/>
      </w:pPr>
      <w:r w:rsidDel="00000000" w:rsidR="00000000" w:rsidRPr="00000000">
        <w:rPr>
          <w:rFonts w:ascii="Calibri" w:cs="Calibri" w:eastAsia="Calibri" w:hAnsi="Calibri"/>
          <w:rtl w:val="0"/>
        </w:rPr>
        <w:t xml:space="preserve">A culture of health starts in communities where healthy choices about what to eat, how much to exercise, or whether to smoke or bicycle or work are easy choices.  A culture of health starts where the environments in which we live—our schools, workplaces, and neighborhoods—are health enhancing.  All of the outcome measures for goal #1 are centered on private entities and state government entities.  One identified gap in the information we have about worksite wellness programs and health promotion activities within Mississippi is city and county governments.  Over the next year, the Mississippi Business Group on Health and the Mississippi State Department of Health plan to survey local governments to evaluate their worksite wellness needs.  Based on the results of this assessment, we plan to develop actions to expand wellness and health promotion activities into this sector.</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712.0" w:type="dxa"/>
        <w:tblLayout w:type="fixed"/>
        <w:tblLook w:val="0000"/>
      </w:tblPr>
      <w:tblGrid>
        <w:gridCol w:w="1040"/>
        <w:gridCol w:w="1100"/>
        <w:gridCol w:w="1240"/>
        <w:gridCol w:w="860"/>
        <w:gridCol w:w="860"/>
        <w:gridCol w:w="2160"/>
        <w:gridCol w:w="60"/>
        <w:gridCol w:w="1300"/>
        <w:gridCol w:w="60"/>
        <w:gridCol w:w="680"/>
        <w:tblGridChange w:id="0">
          <w:tblGrid>
            <w:gridCol w:w="1040"/>
            <w:gridCol w:w="1100"/>
            <w:gridCol w:w="1240"/>
            <w:gridCol w:w="860"/>
            <w:gridCol w:w="860"/>
            <w:gridCol w:w="2160"/>
            <w:gridCol w:w="60"/>
            <w:gridCol w:w="1300"/>
            <w:gridCol w:w="60"/>
            <w:gridCol w:w="680"/>
          </w:tblGrid>
        </w:tblGridChange>
      </w:tblGrid>
      <w:tr>
        <w:trPr>
          <w:trHeight w:val="580" w:hRule="atLeast"/>
        </w:trPr>
        <w:tc>
          <w:tcPr>
            <w:gridSpan w:val="10"/>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673"/>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O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#4:  Create a Culture of Health</w:t>
            </w:r>
            <w:r w:rsidDel="00000000" w:rsidR="00000000" w:rsidRPr="00000000">
              <w:rPr>
                <w:rtl w:val="0"/>
              </w:rPr>
            </w:r>
          </w:p>
        </w:tc>
      </w:tr>
      <w:tr>
        <w:trPr>
          <w:trHeight w:val="720" w:hRule="atLeast"/>
        </w:trPr>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 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 IVE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gridSpan w:val="2"/>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 I O N 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5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4.1</w:t>
            </w:r>
          </w:p>
          <w:p w:rsidR="00000000" w:rsidDel="00000000" w:rsidP="00000000" w:rsidRDefault="00000000" w:rsidRPr="00000000">
            <w:pPr>
              <w:spacing w:line="240" w:lineRule="auto"/>
              <w:ind w:left="98" w:firstLine="0"/>
              <w:contextualSpacing w:val="0"/>
            </w:pPr>
            <w:r w:rsidDel="00000000" w:rsidR="00000000" w:rsidRPr="00000000">
              <w:rPr>
                <w:rFonts w:ascii="Calibri" w:cs="Calibri" w:eastAsia="Calibri" w:hAnsi="Calibri"/>
                <w:color w:val="000080"/>
                <w:sz w:val="19"/>
                <w:szCs w:val="19"/>
                <w:rtl w:val="0"/>
              </w:rPr>
              <w:t xml:space="preserve">Improve the culture of health in Mississippi workplaces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7" w:right="91" w:firstLine="0"/>
              <w:contextualSpacing w:val="0"/>
            </w:pPr>
            <w:r w:rsidDel="00000000" w:rsidR="00000000" w:rsidRPr="00000000">
              <w:rPr>
                <w:rFonts w:ascii="Calibri" w:cs="Calibri" w:eastAsia="Calibri" w:hAnsi="Calibri"/>
                <w:color w:val="000080"/>
                <w:sz w:val="19"/>
                <w:szCs w:val="19"/>
                <w:rtl w:val="0"/>
              </w:rPr>
              <w:t xml:space="preserve">4.1.1 </w:t>
            </w:r>
          </w:p>
          <w:p w:rsidR="00000000" w:rsidDel="00000000" w:rsidP="00000000" w:rsidRDefault="00000000" w:rsidRPr="00000000">
            <w:pPr>
              <w:spacing w:line="240" w:lineRule="auto"/>
              <w:ind w:left="97" w:right="91" w:firstLine="0"/>
              <w:contextualSpacing w:val="0"/>
            </w:pPr>
            <w:r w:rsidDel="00000000" w:rsidR="00000000" w:rsidRPr="00000000">
              <w:rPr>
                <w:rFonts w:ascii="Calibri" w:cs="Calibri" w:eastAsia="Calibri" w:hAnsi="Calibri"/>
                <w:color w:val="000080"/>
                <w:sz w:val="19"/>
                <w:szCs w:val="19"/>
                <w:rtl w:val="0"/>
              </w:rPr>
              <w:t xml:space="preserve">Increase the number of Mississippi worksites that offer employee wellness programs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50" w:line="240" w:lineRule="auto"/>
              <w:ind w:left="90" w:right="43" w:firstLine="0"/>
              <w:contextualSpacing w:val="0"/>
            </w:pPr>
            <w:r w:rsidDel="00000000" w:rsidR="00000000" w:rsidRPr="00000000">
              <w:rPr>
                <w:rFonts w:ascii="Calibri" w:cs="Calibri" w:eastAsia="Calibri" w:hAnsi="Calibri"/>
                <w:color w:val="000080"/>
                <w:sz w:val="19"/>
                <w:szCs w:val="19"/>
                <w:rtl w:val="0"/>
              </w:rPr>
              <w:t xml:space="preserve">Percent of private worksites conducting wellness programs or health promotion activities  </w:t>
            </w:r>
          </w:p>
          <w:p w:rsidR="00000000" w:rsidDel="00000000" w:rsidP="00000000" w:rsidRDefault="00000000" w:rsidRPr="00000000">
            <w:pPr>
              <w:spacing w:before="50" w:line="240" w:lineRule="auto"/>
              <w:ind w:left="338" w:right="43"/>
              <w:contextualSpacing w:val="0"/>
            </w:pPr>
            <w:r w:rsidDel="00000000" w:rsidR="00000000" w:rsidRPr="00000000">
              <w:rPr>
                <w:rtl w:val="0"/>
              </w:rPr>
            </w:r>
          </w:p>
          <w:p w:rsidR="00000000" w:rsidDel="00000000" w:rsidP="00000000" w:rsidRDefault="00000000" w:rsidRPr="00000000">
            <w:pPr>
              <w:spacing w:before="50" w:line="240" w:lineRule="auto"/>
              <w:ind w:left="90" w:right="43" w:firstLine="0"/>
              <w:contextualSpacing w:val="0"/>
            </w:pPr>
            <w:r w:rsidDel="00000000" w:rsidR="00000000" w:rsidRPr="00000000">
              <w:rPr>
                <w:rFonts w:ascii="Calibri" w:cs="Calibri" w:eastAsia="Calibri" w:hAnsi="Calibri"/>
                <w:color w:val="000080"/>
                <w:sz w:val="19"/>
                <w:szCs w:val="19"/>
                <w:rtl w:val="0"/>
              </w:rPr>
              <w:t xml:space="preserve">Data Source:  Mississippi Worksite Survey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2014:</w:t>
            </w:r>
          </w:p>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66.6% </w:t>
            </w:r>
            <w:r w:rsidDel="00000000" w:rsidR="00000000" w:rsidRPr="00000000">
              <w:rPr>
                <w:rFonts w:ascii="Calibri" w:cs="Calibri" w:eastAsia="Calibri" w:hAnsi="Calibri"/>
                <w:color w:val="ff0000"/>
                <w:sz w:val="19"/>
                <w:szCs w:val="19"/>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2019:</w:t>
            </w:r>
            <w:r w:rsidDel="00000000" w:rsidR="00000000" w:rsidRPr="00000000">
              <w:rPr>
                <w:rtl w:val="0"/>
              </w:rPr>
            </w:r>
          </w:p>
          <w:p w:rsidR="00000000" w:rsidDel="00000000" w:rsidP="00000000" w:rsidRDefault="00000000" w:rsidRPr="00000000">
            <w:pPr>
              <w:spacing w:before="1"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82%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Promote the Recognized Healthy Workplace Program through multiple channels throughout the state</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Increase the number of applicants to the Healthiest Workplaces Awards by July 2016</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Share success stories on the MSBGH, MSDH, and MS Business Journal publications and media outlets by August 2016</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Engage business organizations to promotion and offer learning opportunities on worksite wellness best practices</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Enhance resource kits on the MSDH and MSBGH websites</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Prepare promotional campaign and key messages for media by 9/1/16</w:t>
            </w:r>
          </w:p>
          <w:p w:rsidR="00000000" w:rsidDel="00000000" w:rsidP="00000000" w:rsidRDefault="00000000" w:rsidRPr="00000000">
            <w:pPr>
              <w:spacing w:line="240" w:lineRule="auto"/>
              <w:ind w:left="270" w:right="89" w:firstLine="0"/>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Murray Harber, MS Business Group on Health; Victor Sutton, MSDH</w:t>
            </w:r>
          </w:p>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Murray Harber, Victor Sutton</w:t>
            </w:r>
          </w:p>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Murray Harber, Victor Sutton</w:t>
            </w:r>
          </w:p>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Murray Harber, Victor Sutton</w:t>
            </w:r>
          </w:p>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Buddy Daughdrill, MPHA; Murray Harber, MS Business Group on health</w:t>
            </w:r>
          </w:p>
          <w:p w:rsidR="00000000" w:rsidDel="00000000" w:rsidP="00000000" w:rsidRDefault="00000000" w:rsidRPr="00000000">
            <w:pPr>
              <w:numPr>
                <w:ilvl w:val="0"/>
                <w:numId w:val="4"/>
              </w:numPr>
              <w:spacing w:line="240" w:lineRule="auto"/>
              <w:ind w:left="27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Victor Sutton, MSDH; Liz Sharlot, MSDH; Murray Harber, MS Business Group on Health; Buddy Daughdrill, MS Public Health Association</w:t>
            </w:r>
          </w:p>
          <w:p w:rsidR="00000000" w:rsidDel="00000000" w:rsidP="00000000" w:rsidRDefault="00000000" w:rsidRPr="00000000">
            <w:pPr>
              <w:spacing w:line="240" w:lineRule="auto"/>
              <w:ind w:left="271"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580" w:hRule="atLeast"/>
        </w:trPr>
        <w:tc>
          <w:tcPr>
            <w:gridSpan w:val="10"/>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687"/>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O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#4:  Create a Culture of Health</w:t>
            </w:r>
            <w:r w:rsidDel="00000000" w:rsidR="00000000" w:rsidRPr="00000000">
              <w:rPr>
                <w:rtl w:val="0"/>
              </w:rPr>
            </w:r>
          </w:p>
        </w:tc>
      </w:tr>
      <w:tr>
        <w:trPr>
          <w:trHeight w:val="900" w:hRule="atLeast"/>
        </w:trPr>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 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 IVE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 I O N 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3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59"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 of private worksites that provide healthy alternatives in vending machines</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w:t>
            </w:r>
            <w:r w:rsidDel="00000000" w:rsidR="00000000" w:rsidRPr="00000000">
              <w:rPr>
                <w:rFonts w:ascii="Calibri" w:cs="Calibri" w:eastAsia="Calibri" w:hAnsi="Calibri"/>
                <w:color w:val="ff0000"/>
                <w:sz w:val="19"/>
                <w:szCs w:val="19"/>
                <w:rtl w:val="0"/>
              </w:rPr>
              <w:t xml:space="preserve">:  </w:t>
            </w:r>
            <w:r w:rsidDel="00000000" w:rsidR="00000000" w:rsidRPr="00000000">
              <w:rPr>
                <w:rFonts w:ascii="Calibri" w:cs="Calibri" w:eastAsia="Calibri" w:hAnsi="Calibri"/>
                <w:color w:val="000080"/>
                <w:sz w:val="19"/>
                <w:szCs w:val="19"/>
                <w:rtl w:val="0"/>
              </w:rPr>
              <w:t xml:space="preserve">Mississippi Worksite Survey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2014:  </w:t>
            </w:r>
          </w:p>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2019:</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56.7%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Present package at MEC annual conference and other groups:  MEC Spring 2016, SHRM May 2016, MBGH October 2016, MASI September 2016, MAPA September 2016.</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Identify appropriate speakers/champion by July 2016</w:t>
            </w:r>
          </w:p>
          <w:p w:rsidR="00000000" w:rsidDel="00000000" w:rsidP="00000000" w:rsidRDefault="00000000" w:rsidRPr="00000000">
            <w:pPr>
              <w:numPr>
                <w:ilvl w:val="0"/>
                <w:numId w:val="3"/>
              </w:numPr>
              <w:spacing w:line="240" w:lineRule="auto"/>
              <w:ind w:left="270" w:right="89" w:hanging="179"/>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Advocate for two policies that promote worksite wellness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spacing w:line="240" w:lineRule="auto"/>
              <w:ind w:left="33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Well-respected employer (TBD)</w:t>
            </w:r>
          </w:p>
          <w:p w:rsidR="00000000" w:rsidDel="00000000" w:rsidP="00000000" w:rsidRDefault="00000000" w:rsidRPr="00000000">
            <w:pPr>
              <w:numPr>
                <w:ilvl w:val="0"/>
                <w:numId w:val="2"/>
              </w:numPr>
              <w:spacing w:line="240" w:lineRule="auto"/>
              <w:ind w:left="331"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Rita Wray; Murray Harber, MS Business Group on Health; Victor Sutton, MSDH</w:t>
            </w:r>
          </w:p>
          <w:p w:rsidR="00000000" w:rsidDel="00000000" w:rsidP="00000000" w:rsidRDefault="00000000" w:rsidRPr="00000000">
            <w:pPr>
              <w:numPr>
                <w:ilvl w:val="0"/>
                <w:numId w:val="2"/>
              </w:numPr>
              <w:spacing w:line="240" w:lineRule="auto"/>
              <w:ind w:left="331" w:hanging="180"/>
              <w:contextualSpacing w:val="1"/>
              <w:rPr>
                <w:rFonts w:ascii="Calibri" w:cs="Calibri" w:eastAsia="Calibri" w:hAnsi="Calibri"/>
                <w:color w:val="000080"/>
                <w:sz w:val="18"/>
                <w:szCs w:val="18"/>
              </w:rPr>
            </w:pPr>
            <w:r w:rsidDel="00000000" w:rsidR="00000000" w:rsidRPr="00000000">
              <w:rPr>
                <w:rFonts w:ascii="Calibri" w:cs="Calibri" w:eastAsia="Calibri" w:hAnsi="Calibri"/>
                <w:color w:val="000080"/>
                <w:sz w:val="19"/>
                <w:szCs w:val="19"/>
                <w:rtl w:val="0"/>
              </w:rPr>
              <w:t xml:space="preserve">Kay Henry, MSDH; Victor Sutton, MSDH; Murray Harber, MS Business Group on Health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9880" w:hRule="atLeast"/>
        </w:trPr>
        <w:tc>
          <w:tcPr>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ind w:left="98" w:right="59" w:firstLine="0"/>
              <w:contextualSpacing w:val="0"/>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 of private worksites that have formal employee wellness policies</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w:t>
            </w:r>
            <w:r w:rsidDel="00000000" w:rsidR="00000000" w:rsidRPr="00000000">
              <w:rPr>
                <w:rFonts w:ascii="Calibri" w:cs="Calibri" w:eastAsia="Calibri" w:hAnsi="Calibri"/>
                <w:sz w:val="19"/>
                <w:szCs w:val="19"/>
                <w:rtl w:val="0"/>
              </w:rPr>
              <w:t xml:space="preserve">:  </w:t>
            </w:r>
            <w:r w:rsidDel="00000000" w:rsidR="00000000" w:rsidRPr="00000000">
              <w:rPr>
                <w:rFonts w:ascii="Calibri" w:cs="Calibri" w:eastAsia="Calibri" w:hAnsi="Calibri"/>
                <w:color w:val="000080"/>
                <w:sz w:val="19"/>
                <w:szCs w:val="19"/>
                <w:rtl w:val="0"/>
              </w:rPr>
              <w:t xml:space="preserve">Mississippi Worksite Survey</w:t>
            </w:r>
          </w:p>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 of private worksites that offer lactation support for breastfeeding mothers, including time and a private, sanitary space to pump milk at work</w:t>
            </w:r>
          </w:p>
          <w:p w:rsidR="00000000" w:rsidDel="00000000" w:rsidP="00000000" w:rsidRDefault="00000000" w:rsidRPr="00000000">
            <w:pPr>
              <w:widowControl w:val="0"/>
              <w:spacing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  </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Mississippi Worksite Survey</w:t>
            </w:r>
          </w:p>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Percent of private worksites reporting that more than 50% of employees participate in a health and wellness program in the past 12 months</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  Mississippi Worksite Survey</w:t>
            </w:r>
          </w:p>
        </w:tc>
        <w:tc>
          <w:tcPr>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2014:  </w:t>
            </w:r>
          </w:p>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30.8% </w:t>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before="3"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2014:  </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36.6% </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2014:  </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55.8%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2019:</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40.8% </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2019:</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46.6% </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bookmarkStart w:colFirst="0" w:colLast="0" w:name="h.1c1lvlb" w:id="1"/>
            <w:bookmarkEnd w:id="1"/>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2019:</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65.8% </w:t>
            </w:r>
          </w:p>
        </w:tc>
        <w:tc>
          <w:tcPr>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ind w:left="270" w:firstLine="0"/>
              <w:contextualSpacing w:val="0"/>
            </w:pPr>
            <w:r w:rsidDel="00000000" w:rsidR="00000000" w:rsidRPr="00000000">
              <w:rPr>
                <w:rFonts w:ascii="Calibri" w:cs="Calibri" w:eastAsia="Calibri" w:hAnsi="Calibri"/>
                <w:color w:val="000080"/>
                <w:sz w:val="19"/>
                <w:szCs w:val="19"/>
                <w:rtl w:val="0"/>
              </w:rPr>
              <w:t xml:space="preserve">j. Work with AHA to promote healthy vending programs to worksite.</w:t>
            </w:r>
          </w:p>
          <w:p w:rsidR="00000000" w:rsidDel="00000000" w:rsidP="00000000" w:rsidRDefault="00000000" w:rsidRPr="00000000">
            <w:pPr>
              <w:spacing w:line="240" w:lineRule="auto"/>
              <w:ind w:left="270" w:firstLine="0"/>
              <w:contextualSpacing w:val="0"/>
            </w:pPr>
            <w:r w:rsidDel="00000000" w:rsidR="00000000" w:rsidRPr="00000000">
              <w:rPr>
                <w:rFonts w:ascii="Calibri" w:cs="Calibri" w:eastAsia="Calibri" w:hAnsi="Calibri"/>
                <w:color w:val="000080"/>
                <w:sz w:val="19"/>
                <w:szCs w:val="19"/>
                <w:rtl w:val="0"/>
              </w:rPr>
              <w:t xml:space="preserve">K. Create sample wellness policies to promote to employers</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80"/>
                <w:sz w:val="19"/>
                <w:szCs w:val="19"/>
                <w:rtl w:val="0"/>
              </w:rPr>
              <w:t xml:space="preserve">J. Katherine Bryant, Victor Sutton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0080"/>
                <w:sz w:val="19"/>
                <w:szCs w:val="19"/>
                <w:rtl w:val="0"/>
              </w:rPr>
              <w:t xml:space="preserve">K. Murray Harber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580" w:hRule="atLeast"/>
        </w:trPr>
        <w:tc>
          <w:tcPr>
            <w:gridSpan w:val="10"/>
            <w:tcBorders>
              <w:top w:color="000000" w:space="0" w:sz="6" w:val="single"/>
              <w:left w:color="000000" w:space="0" w:sz="6" w:val="single"/>
              <w:bottom w:color="000000" w:space="0" w:sz="6" w:val="single"/>
              <w:right w:color="000000" w:space="0" w:sz="6" w:val="single"/>
            </w:tcBorders>
            <w:shd w:fill="003365"/>
            <w:vAlign w:val="center"/>
          </w:tcPr>
          <w:p w:rsidR="00000000" w:rsidDel="00000000" w:rsidP="00000000" w:rsidRDefault="00000000" w:rsidRPr="00000000">
            <w:pPr>
              <w:tabs>
                <w:tab w:val="left" w:pos="4700"/>
              </w:tabs>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APPENDIX O :   Mississippi State Community Scorecard – 2016</w:t>
            </w:r>
          </w:p>
          <w:p w:rsidR="00000000" w:rsidDel="00000000" w:rsidP="00000000" w:rsidRDefault="00000000" w:rsidRPr="00000000">
            <w:pPr>
              <w:spacing w:before="13" w:line="240" w:lineRule="auto"/>
              <w:ind w:left="3373" w:right="-20" w:hanging="4904"/>
              <w:contextualSpacing w:val="0"/>
              <w:jc w:val="center"/>
            </w:pPr>
            <w:r w:rsidDel="00000000" w:rsidR="00000000" w:rsidRPr="00000000">
              <w:rPr>
                <w:rFonts w:ascii="Calibri" w:cs="Calibri" w:eastAsia="Calibri" w:hAnsi="Calibri"/>
                <w:color w:val="ffffff"/>
                <w:sz w:val="19"/>
                <w:szCs w:val="19"/>
                <w:rtl w:val="0"/>
              </w:rPr>
              <w:t xml:space="preserve">                                                  PRIORITY AREA #4:  Create a Culture of Health</w:t>
            </w:r>
            <w:r w:rsidDel="00000000" w:rsidR="00000000" w:rsidRPr="00000000">
              <w:rPr>
                <w:rtl w:val="0"/>
              </w:rPr>
            </w:r>
          </w:p>
        </w:tc>
      </w:tr>
      <w:tr>
        <w:trPr>
          <w:trHeight w:val="900" w:hRule="atLeast"/>
        </w:trPr>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98" w:right="-20" w:firstLine="202"/>
              <w:contextualSpacing w:val="0"/>
            </w:pPr>
            <w:r w:rsidDel="00000000" w:rsidR="00000000" w:rsidRPr="00000000">
              <w:rPr>
                <w:rFonts w:ascii="Calibri" w:cs="Calibri" w:eastAsia="Calibri" w:hAnsi="Calibri"/>
                <w:color w:val="ffffff"/>
                <w:sz w:val="18"/>
                <w:szCs w:val="18"/>
                <w:rtl w:val="0"/>
              </w:rPr>
              <w:t xml:space="preserve">GOAL</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7"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S TRATE GIC</w:t>
            </w:r>
            <w:r w:rsidDel="00000000" w:rsidR="00000000" w:rsidRPr="00000000">
              <w:rPr>
                <w:rtl w:val="0"/>
              </w:rPr>
            </w:r>
          </w:p>
          <w:p w:rsidR="00000000" w:rsidDel="00000000" w:rsidP="00000000" w:rsidRDefault="00000000" w:rsidRPr="00000000">
            <w:pPr>
              <w:spacing w:line="240" w:lineRule="auto"/>
              <w:ind w:left="75" w:right="-20" w:firstLine="0"/>
              <w:contextualSpacing w:val="0"/>
            </w:pPr>
            <w:r w:rsidDel="00000000" w:rsidR="00000000" w:rsidRPr="00000000">
              <w:rPr>
                <w:rFonts w:ascii="Calibri" w:cs="Calibri" w:eastAsia="Calibri" w:hAnsi="Calibri"/>
                <w:color w:val="ffffff"/>
                <w:sz w:val="18"/>
                <w:szCs w:val="18"/>
                <w:rtl w:val="0"/>
              </w:rPr>
              <w:t xml:space="preserve">O BJECT IVE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6" w:line="240" w:lineRule="auto"/>
              <w:contextualSpacing w:val="0"/>
            </w:pPr>
            <w:r w:rsidDel="00000000" w:rsidR="00000000" w:rsidRPr="00000000">
              <w:rPr>
                <w:rtl w:val="0"/>
              </w:rPr>
            </w:r>
          </w:p>
          <w:p w:rsidR="00000000" w:rsidDel="00000000" w:rsidP="00000000" w:rsidRDefault="00000000" w:rsidRPr="00000000">
            <w:pPr>
              <w:spacing w:line="240" w:lineRule="auto"/>
              <w:ind w:left="134" w:right="-20" w:firstLine="0"/>
              <w:contextualSpacing w:val="0"/>
            </w:pPr>
            <w:r w:rsidDel="00000000" w:rsidR="00000000" w:rsidRPr="00000000">
              <w:rPr>
                <w:rFonts w:ascii="Calibri" w:cs="Calibri" w:eastAsia="Calibri" w:hAnsi="Calibri"/>
                <w:color w:val="ffffff"/>
                <w:sz w:val="18"/>
                <w:szCs w:val="18"/>
                <w:rtl w:val="0"/>
              </w:rPr>
              <w:t xml:space="preserve">M EASURE</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ind w:left="200" w:right="-20" w:firstLine="0"/>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BASELINE</w:t>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9"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T ARGET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before="7" w:line="240" w:lineRule="auto"/>
              <w:contextualSpacing w:val="0"/>
            </w:pPr>
            <w:r w:rsidDel="00000000" w:rsidR="00000000" w:rsidRPr="00000000">
              <w:rPr>
                <w:rtl w:val="0"/>
              </w:rPr>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C RITICAL  A CT I O N S</w:t>
            </w:r>
          </w:p>
          <w:p w:rsidR="00000000" w:rsidDel="00000000" w:rsidP="00000000" w:rsidRDefault="00000000" w:rsidRPr="00000000">
            <w:pPr>
              <w:spacing w:line="240" w:lineRule="auto"/>
              <w:ind w:left="1461" w:right="-20" w:hanging="1168"/>
              <w:contextualSpacing w:val="0"/>
            </w:pPr>
            <w:r w:rsidDel="00000000" w:rsidR="00000000" w:rsidRPr="00000000">
              <w:rPr>
                <w:rFonts w:ascii="Calibri" w:cs="Calibri" w:eastAsia="Calibri" w:hAnsi="Calibri"/>
                <w:color w:val="ffffff"/>
                <w:sz w:val="18"/>
                <w:szCs w:val="18"/>
                <w:rtl w:val="0"/>
              </w:rPr>
              <w:t xml:space="preserve">INTERVENTION STRATEGIES</w:t>
            </w:r>
            <w:r w:rsidDel="00000000" w:rsidR="00000000" w:rsidRPr="00000000">
              <w:rPr>
                <w:rtl w:val="0"/>
              </w:rPr>
            </w:r>
          </w:p>
        </w:tc>
        <w:tc>
          <w:tcPr>
            <w:gridSpan w:val="3"/>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ORGANIZATION/</w:t>
            </w:r>
          </w:p>
          <w:p w:rsidR="00000000" w:rsidDel="00000000" w:rsidP="00000000" w:rsidRDefault="00000000" w:rsidRPr="00000000">
            <w:pPr>
              <w:spacing w:line="240" w:lineRule="auto"/>
              <w:ind w:left="200" w:right="-20" w:firstLine="0"/>
              <w:contextualSpacing w:val="0"/>
            </w:pPr>
            <w:r w:rsidDel="00000000" w:rsidR="00000000" w:rsidRPr="00000000">
              <w:rPr>
                <w:rFonts w:ascii="Calibri" w:cs="Calibri" w:eastAsia="Calibri" w:hAnsi="Calibri"/>
                <w:color w:val="ffffff"/>
                <w:sz w:val="18"/>
                <w:szCs w:val="18"/>
                <w:rtl w:val="0"/>
              </w:rPr>
              <w:t xml:space="preserve">LEAD PERSON</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003365"/>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109" w:right="-20" w:firstLine="0"/>
              <w:contextualSpacing w:val="0"/>
            </w:pPr>
            <w:r w:rsidDel="00000000" w:rsidR="00000000" w:rsidRPr="00000000">
              <w:rPr>
                <w:rFonts w:ascii="Calibri" w:cs="Calibri" w:eastAsia="Calibri" w:hAnsi="Calibri"/>
                <w:color w:val="ffffff"/>
                <w:sz w:val="18"/>
                <w:szCs w:val="18"/>
                <w:rtl w:val="0"/>
              </w:rPr>
              <w:t xml:space="preserve">S TA T U S</w:t>
            </w:r>
            <w:r w:rsidDel="00000000" w:rsidR="00000000" w:rsidRPr="00000000">
              <w:rPr>
                <w:rtl w:val="0"/>
              </w:rPr>
            </w:r>
          </w:p>
          <w:p w:rsidR="00000000" w:rsidDel="00000000" w:rsidP="00000000" w:rsidRDefault="00000000" w:rsidRPr="00000000">
            <w:pPr>
              <w:spacing w:before="2" w:line="240" w:lineRule="auto"/>
              <w:ind w:left="119" w:right="-20" w:firstLine="0"/>
              <w:contextualSpacing w:val="0"/>
            </w:pPr>
            <w:r w:rsidDel="00000000" w:rsidR="00000000" w:rsidRPr="00000000">
              <w:rPr>
                <w:rFonts w:ascii="Calibri" w:cs="Calibri" w:eastAsia="Calibri" w:hAnsi="Calibri"/>
                <w:color w:val="ffffff"/>
                <w:sz w:val="18"/>
                <w:szCs w:val="18"/>
                <w:rtl w:val="0"/>
              </w:rPr>
              <w:t xml:space="preserve">R/Y/G</w:t>
            </w:r>
            <w:r w:rsidDel="00000000" w:rsidR="00000000" w:rsidRPr="00000000">
              <w:rPr>
                <w:rtl w:val="0"/>
              </w:rPr>
            </w:r>
          </w:p>
        </w:tc>
      </w:tr>
      <w:tr>
        <w:trPr>
          <w:trHeight w:val="6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59"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Number of state agencies and other state entities classified as comprehensive or better using the CDC Health Score Card</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  MSDH Office of Preventive Health</w:t>
            </w:r>
          </w:p>
          <w:p w:rsidR="00000000" w:rsidDel="00000000" w:rsidP="00000000" w:rsidRDefault="00000000" w:rsidRPr="00000000">
            <w:pPr>
              <w:widowControl w:val="0"/>
              <w:numPr>
                <w:ilvl w:val="0"/>
                <w:numId w:val="5"/>
              </w:numPr>
              <w:spacing w:after="200" w:line="276" w:lineRule="auto"/>
              <w:ind w:left="308" w:hanging="180"/>
              <w:contextualSpacing w:val="1"/>
              <w:rPr>
                <w:color w:val="000080"/>
                <w:sz w:val="19"/>
                <w:szCs w:val="19"/>
              </w:rPr>
            </w:pPr>
            <w:r w:rsidDel="00000000" w:rsidR="00000000" w:rsidRPr="00000000">
              <w:rPr>
                <w:rFonts w:ascii="Calibri" w:cs="Calibri" w:eastAsia="Calibri" w:hAnsi="Calibri"/>
                <w:color w:val="000080"/>
                <w:sz w:val="19"/>
                <w:szCs w:val="19"/>
                <w:rtl w:val="0"/>
              </w:rPr>
              <w:t xml:space="preserve">Number of Cities and Counties that achieve Recognized Healthy Employer status </w:t>
            </w:r>
          </w:p>
          <w:p w:rsidR="00000000" w:rsidDel="00000000" w:rsidP="00000000" w:rsidRDefault="00000000" w:rsidRPr="00000000">
            <w:pPr>
              <w:widowControl w:val="0"/>
              <w:spacing w:after="200" w:line="276" w:lineRule="auto"/>
              <w:ind w:left="89" w:firstLine="0"/>
              <w:contextualSpacing w:val="0"/>
            </w:pPr>
            <w:r w:rsidDel="00000000" w:rsidR="00000000" w:rsidRPr="00000000">
              <w:rPr>
                <w:rFonts w:ascii="Calibri" w:cs="Calibri" w:eastAsia="Calibri" w:hAnsi="Calibri"/>
                <w:color w:val="000080"/>
                <w:sz w:val="19"/>
                <w:szCs w:val="19"/>
                <w:rtl w:val="0"/>
              </w:rPr>
              <w:t xml:space="preserve">Data Source: MS Business Group on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December 31, 2016:  </w:t>
            </w:r>
          </w:p>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9</w:t>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tl w:val="0"/>
              </w:rPr>
            </w:r>
          </w:p>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December 31, 2016:</w:t>
            </w:r>
          </w:p>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No Baseline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2017:</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w:t>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tl w:val="0"/>
              </w:rPr>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December 31, 2017:</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7"/>
              </w:numPr>
              <w:spacing w:line="240" w:lineRule="auto"/>
              <w:ind w:left="630" w:hanging="36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SEWP in collaboration with SSEHIP provides four trainings per year to improve application of best practices in workplace wellness.</w:t>
            </w:r>
          </w:p>
          <w:p w:rsidR="00000000" w:rsidDel="00000000" w:rsidP="00000000" w:rsidRDefault="00000000" w:rsidRPr="00000000">
            <w:pPr>
              <w:numPr>
                <w:ilvl w:val="0"/>
                <w:numId w:val="7"/>
              </w:numPr>
              <w:spacing w:line="240" w:lineRule="auto"/>
              <w:ind w:left="630" w:hanging="36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Share success stories to legislature, state leadership, and state employer units</w:t>
            </w:r>
          </w:p>
          <w:p w:rsidR="00000000" w:rsidDel="00000000" w:rsidP="00000000" w:rsidRDefault="00000000" w:rsidRPr="00000000">
            <w:pPr>
              <w:spacing w:line="240" w:lineRule="auto"/>
              <w:ind w:left="270" w:firstLine="0"/>
              <w:contextualSpacing w:val="0"/>
            </w:pPr>
            <w:r w:rsidDel="00000000" w:rsidR="00000000" w:rsidRPr="00000000">
              <w:rPr>
                <w:rFonts w:ascii="Calibri" w:cs="Calibri" w:eastAsia="Calibri" w:hAnsi="Calibri"/>
                <w:color w:val="000080"/>
                <w:sz w:val="19"/>
                <w:szCs w:val="19"/>
                <w:rtl w:val="0"/>
              </w:rPr>
              <w:t xml:space="preserve">MSBGH and SEWP work with the MML and MAS to promote Recognized Healthy Employer Program</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spacing w:line="240" w:lineRule="auto"/>
              <w:ind w:left="331" w:hanging="180"/>
              <w:contextualSpacing w:val="1"/>
              <w:rPr>
                <w:color w:val="000080"/>
              </w:rPr>
            </w:pPr>
            <w:r w:rsidDel="00000000" w:rsidR="00000000" w:rsidRPr="00000000">
              <w:rPr>
                <w:rFonts w:ascii="Calibri" w:cs="Calibri" w:eastAsia="Calibri" w:hAnsi="Calibri"/>
                <w:color w:val="000080"/>
                <w:sz w:val="19"/>
                <w:szCs w:val="19"/>
                <w:rtl w:val="0"/>
              </w:rPr>
              <w:t xml:space="preserve">Victor Sutton</w:t>
            </w:r>
          </w:p>
          <w:p w:rsidR="00000000" w:rsidDel="00000000" w:rsidP="00000000" w:rsidRDefault="00000000" w:rsidRPr="00000000">
            <w:pPr>
              <w:numPr>
                <w:ilvl w:val="0"/>
                <w:numId w:val="6"/>
              </w:numPr>
              <w:spacing w:line="240" w:lineRule="auto"/>
              <w:ind w:left="331" w:hanging="180"/>
              <w:contextualSpacing w:val="1"/>
              <w:rPr>
                <w:color w:val="000080"/>
              </w:rPr>
            </w:pPr>
            <w:r w:rsidDel="00000000" w:rsidR="00000000" w:rsidRPr="00000000">
              <w:rPr>
                <w:rFonts w:ascii="Calibri" w:cs="Calibri" w:eastAsia="Calibri" w:hAnsi="Calibri"/>
                <w:color w:val="000080"/>
                <w:sz w:val="19"/>
                <w:szCs w:val="19"/>
                <w:rtl w:val="0"/>
              </w:rPr>
              <w:t xml:space="preserve">Dr. Mary Currier, Victor Sutton</w:t>
            </w:r>
          </w:p>
          <w:p w:rsidR="00000000" w:rsidDel="00000000" w:rsidP="00000000" w:rsidRDefault="00000000" w:rsidRPr="00000000">
            <w:pPr>
              <w:numPr>
                <w:ilvl w:val="0"/>
                <w:numId w:val="6"/>
              </w:numPr>
              <w:spacing w:line="240" w:lineRule="auto"/>
              <w:ind w:left="331" w:hanging="180"/>
              <w:contextualSpacing w:val="1"/>
              <w:rPr/>
            </w:pPr>
            <w:r w:rsidDel="00000000" w:rsidR="00000000" w:rsidRPr="00000000">
              <w:rPr>
                <w:rFonts w:ascii="Calibri" w:cs="Calibri" w:eastAsia="Calibri" w:hAnsi="Calibri"/>
                <w:color w:val="000080"/>
                <w:sz w:val="19"/>
                <w:szCs w:val="19"/>
                <w:rtl w:val="0"/>
              </w:rPr>
              <w:t xml:space="preserve">Murray Harber/ Victor Sutton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rPr>
          <w:trHeight w:val="4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4.2 </w:t>
            </w:r>
          </w:p>
          <w:p w:rsidR="00000000" w:rsidDel="00000000" w:rsidP="00000000" w:rsidRDefault="00000000" w:rsidRPr="00000000">
            <w:pPr>
              <w:spacing w:line="240" w:lineRule="auto"/>
              <w:ind w:left="82" w:right="92" w:firstLine="0"/>
              <w:contextualSpacing w:val="0"/>
            </w:pPr>
            <w:r w:rsidDel="00000000" w:rsidR="00000000" w:rsidRPr="00000000">
              <w:rPr>
                <w:rFonts w:ascii="Calibri" w:cs="Calibri" w:eastAsia="Calibri" w:hAnsi="Calibri"/>
                <w:color w:val="000080"/>
                <w:sz w:val="19"/>
                <w:szCs w:val="19"/>
                <w:rtl w:val="0"/>
              </w:rPr>
              <w:t xml:space="preserve">Improve culture of health in Mississippi in academic settings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82" w:right="-20" w:firstLine="0"/>
              <w:contextualSpacing w:val="0"/>
            </w:pPr>
            <w:r w:rsidDel="00000000" w:rsidR="00000000" w:rsidRPr="00000000">
              <w:rPr>
                <w:rFonts w:ascii="Calibri" w:cs="Calibri" w:eastAsia="Calibri" w:hAnsi="Calibri"/>
                <w:color w:val="000080"/>
                <w:sz w:val="19"/>
                <w:szCs w:val="19"/>
                <w:rtl w:val="0"/>
              </w:rPr>
              <w:t xml:space="preserve">4.2.1</w:t>
            </w:r>
          </w:p>
          <w:p w:rsidR="00000000" w:rsidDel="00000000" w:rsidP="00000000" w:rsidRDefault="00000000" w:rsidRPr="00000000">
            <w:pPr>
              <w:spacing w:line="240" w:lineRule="auto"/>
              <w:ind w:left="82" w:right="91" w:firstLine="0"/>
              <w:contextualSpacing w:val="0"/>
            </w:pPr>
            <w:r w:rsidDel="00000000" w:rsidR="00000000" w:rsidRPr="00000000">
              <w:rPr>
                <w:rFonts w:ascii="Calibri" w:cs="Calibri" w:eastAsia="Calibri" w:hAnsi="Calibri"/>
                <w:color w:val="000080"/>
                <w:sz w:val="19"/>
                <w:szCs w:val="19"/>
                <w:rtl w:val="0"/>
              </w:rPr>
              <w:t xml:space="preserve">Increase the percent of school health councils in (full compliance) with composition requirements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5"/>
              </w:numPr>
              <w:spacing w:line="276" w:lineRule="auto"/>
              <w:ind w:left="308" w:hanging="180"/>
              <w:contextualSpacing w:val="1"/>
              <w:rPr>
                <w:sz w:val="19"/>
                <w:szCs w:val="19"/>
              </w:rPr>
            </w:pPr>
            <w:r w:rsidDel="00000000" w:rsidR="00000000" w:rsidRPr="00000000">
              <w:rPr>
                <w:rFonts w:ascii="Calibri" w:cs="Calibri" w:eastAsia="Calibri" w:hAnsi="Calibri"/>
                <w:color w:val="000080"/>
                <w:sz w:val="19"/>
                <w:szCs w:val="19"/>
                <w:rtl w:val="0"/>
              </w:rPr>
              <w:t xml:space="preserve">Percent of health councils that have members that are child nutrition directors, health professionals, and students</w:t>
            </w:r>
            <w:r w:rsidDel="00000000" w:rsidR="00000000" w:rsidRPr="00000000">
              <w:rPr>
                <w:rtl w:val="0"/>
              </w:rPr>
            </w:r>
          </w:p>
          <w:p w:rsidR="00000000" w:rsidDel="00000000" w:rsidP="00000000" w:rsidRDefault="00000000" w:rsidRPr="00000000">
            <w:pPr>
              <w:widowControl w:val="0"/>
              <w:spacing w:line="276" w:lineRule="auto"/>
              <w:ind w:left="308" w:firstLine="0"/>
              <w:contextualSpacing w:val="0"/>
            </w:pPr>
            <w:r w:rsidDel="00000000" w:rsidR="00000000" w:rsidRPr="00000000">
              <w:rPr>
                <w:rtl w:val="0"/>
              </w:rPr>
            </w:r>
          </w:p>
          <w:p w:rsidR="00000000" w:rsidDel="00000000" w:rsidP="00000000" w:rsidRDefault="00000000" w:rsidRPr="00000000">
            <w:pPr>
              <w:widowControl w:val="0"/>
              <w:spacing w:after="200" w:line="276" w:lineRule="auto"/>
              <w:ind w:left="96" w:firstLine="0"/>
              <w:contextualSpacing w:val="0"/>
            </w:pPr>
            <w:r w:rsidDel="00000000" w:rsidR="00000000" w:rsidRPr="00000000">
              <w:rPr>
                <w:rFonts w:ascii="Calibri" w:cs="Calibri" w:eastAsia="Calibri" w:hAnsi="Calibri"/>
                <w:color w:val="000080"/>
                <w:sz w:val="19"/>
                <w:szCs w:val="19"/>
                <w:rtl w:val="0"/>
              </w:rPr>
              <w:t xml:space="preserve">Data Source: Center for Mississippi Health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2011-2012 School Year:</w:t>
            </w:r>
          </w:p>
          <w:p w:rsidR="00000000" w:rsidDel="00000000" w:rsidP="00000000" w:rsidRDefault="00000000" w:rsidRPr="00000000">
            <w:pPr>
              <w:spacing w:before="3"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18% </w:t>
            </w:r>
          </w:p>
          <w:p w:rsidR="00000000" w:rsidDel="00000000" w:rsidP="00000000" w:rsidRDefault="00000000" w:rsidRPr="00000000">
            <w:pPr>
              <w:spacing w:before="1" w:line="240" w:lineRule="auto"/>
              <w:ind w:right="-2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2017 – 2018 School Year:</w:t>
            </w:r>
          </w:p>
          <w:p w:rsidR="00000000" w:rsidDel="00000000" w:rsidP="00000000" w:rsidRDefault="00000000" w:rsidRPr="00000000">
            <w:pPr>
              <w:spacing w:line="240" w:lineRule="auto"/>
              <w:ind w:left="98" w:right="-20" w:firstLine="0"/>
              <w:contextualSpacing w:val="0"/>
            </w:pPr>
            <w:r w:rsidDel="00000000" w:rsidR="00000000" w:rsidRPr="00000000">
              <w:rPr>
                <w:rFonts w:ascii="Calibri" w:cs="Calibri" w:eastAsia="Calibri" w:hAnsi="Calibri"/>
                <w:color w:val="000080"/>
                <w:sz w:val="19"/>
                <w:szCs w:val="19"/>
                <w:rtl w:val="0"/>
              </w:rPr>
              <w:t xml:space="preserve">25%</w:t>
            </w:r>
          </w:p>
          <w:p w:rsidR="00000000" w:rsidDel="00000000" w:rsidP="00000000" w:rsidRDefault="00000000" w:rsidRPr="00000000">
            <w:pPr>
              <w:spacing w:line="240" w:lineRule="auto"/>
              <w:ind w:left="97" w:right="-2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Provide messages to MDE Office of Healthy Schools for school board training by September 2015</w:t>
            </w:r>
          </w:p>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Provide message to school nurses by September 2016</w:t>
            </w:r>
          </w:p>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Engage health professional organizations to determine who is interested in serving on school health councils at annual meetings in 2016-2017</w:t>
            </w:r>
          </w:p>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Map healthcare professionals by December 2016</w:t>
            </w:r>
          </w:p>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Provide information to parent organizations  by August 2016</w:t>
            </w:r>
          </w:p>
          <w:p w:rsidR="00000000" w:rsidDel="00000000" w:rsidP="00000000" w:rsidRDefault="00000000" w:rsidRPr="00000000">
            <w:pPr>
              <w:numPr>
                <w:ilvl w:val="0"/>
                <w:numId w:val="1"/>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Share information with school administration by August 2016</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Estelle Watts, MDE OHS</w:t>
            </w:r>
          </w:p>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Estelle Watts, MDE OHS</w:t>
            </w:r>
          </w:p>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Buddy Daughdrill, MPHA </w:t>
            </w:r>
          </w:p>
          <w:p w:rsidR="00000000" w:rsidDel="00000000" w:rsidP="00000000" w:rsidRDefault="00000000" w:rsidRPr="00000000">
            <w:pPr>
              <w:spacing w:line="240" w:lineRule="auto"/>
              <w:ind w:left="270" w:firstLine="0"/>
              <w:contextualSpacing w:val="0"/>
            </w:pPr>
            <w:r w:rsidDel="00000000" w:rsidR="00000000" w:rsidRPr="00000000">
              <w:rPr>
                <w:rFonts w:ascii="Calibri" w:cs="Calibri" w:eastAsia="Calibri" w:hAnsi="Calibri"/>
                <w:color w:val="000080"/>
                <w:sz w:val="19"/>
                <w:szCs w:val="19"/>
                <w:rtl w:val="0"/>
              </w:rPr>
              <w:t xml:space="preserve">Kay Henry, MSDH</w:t>
            </w:r>
          </w:p>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Larry Smith, MSDH Office of Performance Improvement</w:t>
            </w:r>
          </w:p>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Christine Philley, MDE OHS</w:t>
            </w:r>
          </w:p>
          <w:p w:rsidR="00000000" w:rsidDel="00000000" w:rsidP="00000000" w:rsidRDefault="00000000" w:rsidRPr="00000000">
            <w:pPr>
              <w:numPr>
                <w:ilvl w:val="0"/>
                <w:numId w:val="8"/>
              </w:numPr>
              <w:spacing w:line="240" w:lineRule="auto"/>
              <w:ind w:left="270" w:hanging="180"/>
              <w:contextualSpacing w:val="1"/>
              <w:rPr>
                <w:rFonts w:ascii="Calibri" w:cs="Calibri" w:eastAsia="Calibri" w:hAnsi="Calibri"/>
                <w:color w:val="000080"/>
                <w:sz w:val="19"/>
                <w:szCs w:val="19"/>
              </w:rPr>
            </w:pPr>
            <w:r w:rsidDel="00000000" w:rsidR="00000000" w:rsidRPr="00000000">
              <w:rPr>
                <w:rFonts w:ascii="Calibri" w:cs="Calibri" w:eastAsia="Calibri" w:hAnsi="Calibri"/>
                <w:color w:val="000080"/>
                <w:sz w:val="19"/>
                <w:szCs w:val="19"/>
                <w:rtl w:val="0"/>
              </w:rPr>
              <w:t xml:space="preserve">Christine Philley, MDE OHS</w:t>
            </w:r>
          </w:p>
          <w:p w:rsidR="00000000" w:rsidDel="00000000" w:rsidP="00000000" w:rsidRDefault="00000000" w:rsidRPr="00000000">
            <w:pPr>
              <w:spacing w:line="240" w:lineRule="auto"/>
              <w:ind w:left="27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mbria" w:cs="Cambria" w:eastAsia="Cambria" w:hAnsi="Cambria"/>
          <w:b w:val="1"/>
          <w:color w:val="000081"/>
          <w:sz w:val="24"/>
          <w:szCs w:val="24"/>
          <w:rtl w:val="0"/>
        </w:rPr>
        <w:t xml:space="preserve">Status will be reviewed using a stoplight approach as follows:</w: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-101599</wp:posOffset>
                </wp:positionH>
                <wp:positionV relativeFrom="paragraph">
                  <wp:posOffset>114300</wp:posOffset>
                </wp:positionV>
                <wp:extent cx="4457700" cy="939800"/>
                <wp:effectExtent b="0" l="0" r="0" t="0"/>
                <wp:wrapNone/>
                <wp:docPr id="1" name=""/>
                <a:graphic>
                  <a:graphicData uri="http://schemas.microsoft.com/office/word/2010/wordprocessingGroup">
                    <wpg:wgp>
                      <wpg:cNvGrpSpPr/>
                      <wpg:grpSpPr>
                        <a:xfrm>
                          <a:off x="3116198" y="3310100"/>
                          <a:ext cx="4457700" cy="939800"/>
                          <a:chOff x="3116198" y="3310100"/>
                          <a:chExt cx="4459605" cy="939799"/>
                        </a:xfrm>
                      </wpg:grpSpPr>
                      <wpg:grpSp>
                        <wpg:cNvGrpSpPr/>
                        <wpg:grpSpPr>
                          <a:xfrm>
                            <a:off x="3116198" y="3310100"/>
                            <a:ext cx="4459605" cy="939799"/>
                            <a:chOff x="0" y="0"/>
                            <a:chExt cx="4459856" cy="940278"/>
                          </a:xfrm>
                        </wpg:grpSpPr>
                        <wps:wsp>
                          <wps:cNvSpPr/>
                          <wps:cNvPr id="3" name="Shape 3"/>
                          <wps:spPr>
                            <a:xfrm>
                              <a:off x="0" y="0"/>
                              <a:ext cx="4459850" cy="940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0" y="0"/>
                              <a:ext cx="586595" cy="9316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3873260" y="8626"/>
                              <a:ext cx="586595" cy="9316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845387" y="138022"/>
                              <a:ext cx="2907102" cy="767751"/>
                            </a:xfrm>
                            <a:prstGeom prst="rect">
                              <a:avLst/>
                            </a:prstGeom>
                            <a:noFill/>
                            <a:ln cap="flat" cmpd="thickThin" w="7620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highlight w:val="red"/>
                                    <w:vertAlign w:val="baseline"/>
                                  </w:rPr>
                                  <w:t xml:space="preserve">RED:</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c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Not on target</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yellow"/>
                                    <w:vertAlign w:val="baseline"/>
                                  </w:rPr>
                                  <w:t xml:space="preserve">YELLOW:</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ffc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Falling behind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highlight w:val="green"/>
                                    <w:vertAlign w:val="baseline"/>
                                  </w:rPr>
                                  <w:t xml:space="preserve">GREEN:</w:t>
                                </w:r>
                                <w:r w:rsidDel="00000000" w:rsidR="00000000" w:rsidRPr="00000000">
                                  <w:rPr>
                                    <w:rFonts w:ascii="Calibri" w:cs="Calibri" w:eastAsia="Calibri" w:hAnsi="Calibri"/>
                                    <w:b w:val="1"/>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984806"/>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On Target</w:t>
                                </w:r>
                              </w:p>
                              <w:p w:rsidR="00000000" w:rsidDel="00000000" w:rsidP="00000000" w:rsidRDefault="00000000" w:rsidRPr="00000000">
                                <w:pPr>
                                  <w:spacing w:after="0" w:before="0" w:line="360"/>
                                  <w:ind w:left="0" w:right="0" w:firstLine="0"/>
                                  <w:jc w:val="center"/>
                                  <w:textDirection w:val="lr"/>
                                </w:pPr>
                                <w:r w:rsidDel="00000000" w:rsidR="00000000" w:rsidRPr="00000000">
                                  <w:rPr>
                                    <w:rFonts w:ascii="Cambria" w:cs="Cambria" w:eastAsia="Cambria" w:hAnsi="Cambria"/>
                                    <w:b w:val="1"/>
                                    <w:i w:val="0"/>
                                    <w:smallCaps w:val="0"/>
                                    <w:strike w:val="0"/>
                                    <w:color w:val="000000"/>
                                    <w:sz w:val="18"/>
                                    <w:vertAlign w:val="baseline"/>
                                  </w:rPr>
                                </w:r>
                              </w:p>
                            </w:txbxContent>
                          </wps:txbx>
                          <wps:bodyPr anchorCtr="0" anchor="ctr" bIns="91425" lIns="137150" rIns="137150"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-101599</wp:posOffset>
                </wp:positionH>
                <wp:positionV relativeFrom="paragraph">
                  <wp:posOffset>114300</wp:posOffset>
                </wp:positionV>
                <wp:extent cx="4457700" cy="9398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457700" cy="939800"/>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36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COORDINATING CO-CHAIRS: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2060"/>
          <w:rtl w:val="0"/>
        </w:rPr>
        <w:t xml:space="preserve">PAIGE WARD, MSDH; RITA WRAY, Wray Enterprises Inc.; BETTINA BEECH, UMMC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2060"/>
          <w:rtl w:val="0"/>
        </w:rPr>
        <w:t xml:space="preserve">PARTNERS AND STAKEHOLDERS: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002060"/>
          <w:rtl w:val="0"/>
        </w:rPr>
        <w:t xml:space="preserve">Buddy Daughdrill, MPHA; Timothy Plummer, U.S. Dept. of Housing and Urban Development; Purvie Green, MDAC; Kay Henry, MSDH; Chad Bridges, MSDH; Jim Craig, MSDH; Joy Sennett, MSDH; Liz Sharlot, MSDH; Victor Sutton, MSDH; Ellen Jones, MSPHI; Breanne Hancock, MSDH; Ron Davis, MSDH; Thad Waites, Board of Health; Don Eicher, MSDH; Jamie Rasberry, Healthways; Murray Harber, MS Business Group on Health; Matthew Harrell, MSDH; Jana Bailey, MSDH; Ron Davis, MSDH; Ryan Kelly, Mississippi Rural Health Association; Alicia Partee, MSDH; Joshua Mann, UMMC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70" w:firstLine="410"/>
      </w:pPr>
      <w:rPr/>
    </w:lvl>
    <w:lvl w:ilvl="1">
      <w:start w:val="1"/>
      <w:numFmt w:val="bullet"/>
      <w:lvlText w:val="o"/>
      <w:lvlJc w:val="left"/>
      <w:pPr>
        <w:ind w:left="1490" w:firstLine="1130"/>
      </w:pPr>
      <w:rPr>
        <w:rFonts w:ascii="Arial" w:cs="Arial" w:eastAsia="Arial" w:hAnsi="Arial"/>
      </w:rPr>
    </w:lvl>
    <w:lvl w:ilvl="2">
      <w:start w:val="1"/>
      <w:numFmt w:val="bullet"/>
      <w:lvlText w:val="▪"/>
      <w:lvlJc w:val="left"/>
      <w:pPr>
        <w:ind w:left="2210" w:firstLine="1850"/>
      </w:pPr>
      <w:rPr>
        <w:rFonts w:ascii="Arial" w:cs="Arial" w:eastAsia="Arial" w:hAnsi="Arial"/>
      </w:rPr>
    </w:lvl>
    <w:lvl w:ilvl="3">
      <w:start w:val="1"/>
      <w:numFmt w:val="bullet"/>
      <w:lvlText w:val="●"/>
      <w:lvlJc w:val="left"/>
      <w:pPr>
        <w:ind w:left="2930" w:firstLine="2570"/>
      </w:pPr>
      <w:rPr>
        <w:rFonts w:ascii="Arial" w:cs="Arial" w:eastAsia="Arial" w:hAnsi="Arial"/>
      </w:rPr>
    </w:lvl>
    <w:lvl w:ilvl="4">
      <w:start w:val="1"/>
      <w:numFmt w:val="bullet"/>
      <w:lvlText w:val="o"/>
      <w:lvlJc w:val="left"/>
      <w:pPr>
        <w:ind w:left="3650" w:firstLine="3290"/>
      </w:pPr>
      <w:rPr>
        <w:rFonts w:ascii="Arial" w:cs="Arial" w:eastAsia="Arial" w:hAnsi="Arial"/>
      </w:rPr>
    </w:lvl>
    <w:lvl w:ilvl="5">
      <w:start w:val="1"/>
      <w:numFmt w:val="bullet"/>
      <w:lvlText w:val="▪"/>
      <w:lvlJc w:val="left"/>
      <w:pPr>
        <w:ind w:left="4370" w:firstLine="4010"/>
      </w:pPr>
      <w:rPr>
        <w:rFonts w:ascii="Arial" w:cs="Arial" w:eastAsia="Arial" w:hAnsi="Arial"/>
      </w:rPr>
    </w:lvl>
    <w:lvl w:ilvl="6">
      <w:start w:val="1"/>
      <w:numFmt w:val="bullet"/>
      <w:lvlText w:val="●"/>
      <w:lvlJc w:val="left"/>
      <w:pPr>
        <w:ind w:left="5090" w:firstLine="4730"/>
      </w:pPr>
      <w:rPr>
        <w:rFonts w:ascii="Arial" w:cs="Arial" w:eastAsia="Arial" w:hAnsi="Arial"/>
      </w:rPr>
    </w:lvl>
    <w:lvl w:ilvl="7">
      <w:start w:val="1"/>
      <w:numFmt w:val="bullet"/>
      <w:lvlText w:val="o"/>
      <w:lvlJc w:val="left"/>
      <w:pPr>
        <w:ind w:left="5810" w:firstLine="5450"/>
      </w:pPr>
      <w:rPr>
        <w:rFonts w:ascii="Arial" w:cs="Arial" w:eastAsia="Arial" w:hAnsi="Arial"/>
      </w:rPr>
    </w:lvl>
    <w:lvl w:ilvl="8">
      <w:start w:val="1"/>
      <w:numFmt w:val="bullet"/>
      <w:lvlText w:val="▪"/>
      <w:lvlJc w:val="left"/>
      <w:pPr>
        <w:ind w:left="6530" w:firstLine="6170"/>
      </w:pPr>
      <w:rPr>
        <w:rFonts w:ascii="Arial" w:cs="Arial" w:eastAsia="Arial" w:hAnsi="Arial"/>
      </w:rPr>
    </w:lvl>
  </w:abstractNum>
  <w:abstractNum w:abstractNumId="2">
    <w:lvl w:ilvl="0">
      <w:start w:val="7"/>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lowerLetter"/>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818" w:firstLine="458"/>
      </w:pPr>
      <w:rPr>
        <w:rFonts w:ascii="Arial" w:cs="Arial" w:eastAsia="Arial" w:hAnsi="Arial"/>
      </w:rPr>
    </w:lvl>
    <w:lvl w:ilvl="1">
      <w:start w:val="1"/>
      <w:numFmt w:val="bullet"/>
      <w:lvlText w:val="o"/>
      <w:lvlJc w:val="left"/>
      <w:pPr>
        <w:ind w:left="1538" w:firstLine="1178"/>
      </w:pPr>
      <w:rPr>
        <w:rFonts w:ascii="Arial" w:cs="Arial" w:eastAsia="Arial" w:hAnsi="Arial"/>
      </w:rPr>
    </w:lvl>
    <w:lvl w:ilvl="2">
      <w:start w:val="1"/>
      <w:numFmt w:val="bullet"/>
      <w:lvlText w:val="▪"/>
      <w:lvlJc w:val="left"/>
      <w:pPr>
        <w:ind w:left="2258" w:firstLine="1898"/>
      </w:pPr>
      <w:rPr>
        <w:rFonts w:ascii="Arial" w:cs="Arial" w:eastAsia="Arial" w:hAnsi="Arial"/>
      </w:rPr>
    </w:lvl>
    <w:lvl w:ilvl="3">
      <w:start w:val="1"/>
      <w:numFmt w:val="bullet"/>
      <w:lvlText w:val="●"/>
      <w:lvlJc w:val="left"/>
      <w:pPr>
        <w:ind w:left="2978" w:firstLine="2618"/>
      </w:pPr>
      <w:rPr>
        <w:rFonts w:ascii="Arial" w:cs="Arial" w:eastAsia="Arial" w:hAnsi="Arial"/>
      </w:rPr>
    </w:lvl>
    <w:lvl w:ilvl="4">
      <w:start w:val="1"/>
      <w:numFmt w:val="bullet"/>
      <w:lvlText w:val="o"/>
      <w:lvlJc w:val="left"/>
      <w:pPr>
        <w:ind w:left="3698" w:firstLine="3338"/>
      </w:pPr>
      <w:rPr>
        <w:rFonts w:ascii="Arial" w:cs="Arial" w:eastAsia="Arial" w:hAnsi="Arial"/>
      </w:rPr>
    </w:lvl>
    <w:lvl w:ilvl="5">
      <w:start w:val="1"/>
      <w:numFmt w:val="bullet"/>
      <w:lvlText w:val="▪"/>
      <w:lvlJc w:val="left"/>
      <w:pPr>
        <w:ind w:left="4418" w:firstLine="4058"/>
      </w:pPr>
      <w:rPr>
        <w:rFonts w:ascii="Arial" w:cs="Arial" w:eastAsia="Arial" w:hAnsi="Arial"/>
      </w:rPr>
    </w:lvl>
    <w:lvl w:ilvl="6">
      <w:start w:val="1"/>
      <w:numFmt w:val="bullet"/>
      <w:lvlText w:val="●"/>
      <w:lvlJc w:val="left"/>
      <w:pPr>
        <w:ind w:left="5138" w:firstLine="4778"/>
      </w:pPr>
      <w:rPr>
        <w:rFonts w:ascii="Arial" w:cs="Arial" w:eastAsia="Arial" w:hAnsi="Arial"/>
      </w:rPr>
    </w:lvl>
    <w:lvl w:ilvl="7">
      <w:start w:val="1"/>
      <w:numFmt w:val="bullet"/>
      <w:lvlText w:val="o"/>
      <w:lvlJc w:val="left"/>
      <w:pPr>
        <w:ind w:left="5858" w:firstLine="5498"/>
      </w:pPr>
      <w:rPr>
        <w:rFonts w:ascii="Arial" w:cs="Arial" w:eastAsia="Arial" w:hAnsi="Arial"/>
      </w:rPr>
    </w:lvl>
    <w:lvl w:ilvl="8">
      <w:start w:val="1"/>
      <w:numFmt w:val="bullet"/>
      <w:lvlText w:val="▪"/>
      <w:lvlJc w:val="left"/>
      <w:pPr>
        <w:ind w:left="6578" w:firstLine="6218"/>
      </w:pPr>
      <w:rPr>
        <w:rFonts w:ascii="Arial" w:cs="Arial" w:eastAsia="Arial" w:hAnsi="Arial"/>
      </w:rPr>
    </w:lvl>
  </w:abstractNum>
  <w:abstractNum w:abstractNumId="6">
    <w:lvl w:ilvl="0">
      <w:start w:val="1"/>
      <w:numFmt w:val="lowerLetter"/>
      <w:lvlText w:val="%1."/>
      <w:lvlJc w:val="left"/>
      <w:pPr>
        <w:ind w:left="720" w:firstLine="360"/>
      </w:pPr>
      <w:rPr>
        <w:rFonts w:ascii="Calibri" w:cs="Calibri" w:eastAsia="Calibri" w:hAnsi="Calibri"/>
        <w:sz w:val="19"/>
        <w:szCs w:val="19"/>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lowerLetter"/>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8">
    <w:lvl w:ilvl="0">
      <w:start w:val="1"/>
      <w:numFmt w:val="lowerLetter"/>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